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C48" w:rsidRDefault="00A56C48" w:rsidP="00A56C48">
      <w:pPr>
        <w:pStyle w:val="a4"/>
        <w:jc w:val="center"/>
      </w:pPr>
      <w:bookmarkStart w:id="0" w:name="_GoBack"/>
      <w:bookmarkEnd w:id="0"/>
      <w:r>
        <w:rPr>
          <w:rStyle w:val="a3"/>
          <w:rFonts w:ascii="Verdana" w:hAnsi="Verdana"/>
          <w:color w:val="333333"/>
          <w:sz w:val="27"/>
          <w:szCs w:val="27"/>
        </w:rPr>
        <w:t>最高人民法院</w:t>
      </w:r>
      <w:r>
        <w:rPr>
          <w:rStyle w:val="a3"/>
          <w:rFonts w:ascii="Verdana" w:hAnsi="Verdana"/>
          <w:color w:val="333333"/>
          <w:sz w:val="27"/>
          <w:szCs w:val="27"/>
        </w:rPr>
        <w:t xml:space="preserve"> </w:t>
      </w:r>
      <w:r>
        <w:rPr>
          <w:rStyle w:val="a3"/>
          <w:rFonts w:ascii="Verdana" w:hAnsi="Verdana"/>
          <w:color w:val="333333"/>
          <w:sz w:val="27"/>
          <w:szCs w:val="27"/>
        </w:rPr>
        <w:t>最高人民检察院</w:t>
      </w:r>
    </w:p>
    <w:p w:rsidR="00A56C48" w:rsidRDefault="00A56C48" w:rsidP="00A56C48">
      <w:pPr>
        <w:pStyle w:val="a4"/>
        <w:jc w:val="center"/>
      </w:pPr>
      <w:r>
        <w:rPr>
          <w:rStyle w:val="a3"/>
          <w:rFonts w:ascii="Verdana" w:hAnsi="Verdana"/>
          <w:color w:val="333333"/>
          <w:sz w:val="27"/>
          <w:szCs w:val="27"/>
        </w:rPr>
        <w:t>公安部</w:t>
      </w:r>
      <w:r>
        <w:rPr>
          <w:rStyle w:val="a3"/>
          <w:rFonts w:ascii="Verdana" w:hAnsi="Verdana"/>
          <w:color w:val="333333"/>
          <w:sz w:val="27"/>
          <w:szCs w:val="27"/>
        </w:rPr>
        <w:t xml:space="preserve"> </w:t>
      </w:r>
      <w:r>
        <w:rPr>
          <w:rStyle w:val="a3"/>
          <w:rFonts w:ascii="Verdana" w:hAnsi="Verdana"/>
          <w:color w:val="333333"/>
          <w:sz w:val="27"/>
          <w:szCs w:val="27"/>
        </w:rPr>
        <w:t>国家安全部</w:t>
      </w:r>
      <w:r>
        <w:rPr>
          <w:rStyle w:val="a3"/>
          <w:rFonts w:ascii="Verdana" w:hAnsi="Verdana"/>
          <w:color w:val="333333"/>
          <w:sz w:val="27"/>
          <w:szCs w:val="27"/>
        </w:rPr>
        <w:t xml:space="preserve"> </w:t>
      </w:r>
      <w:r>
        <w:rPr>
          <w:rStyle w:val="a3"/>
          <w:rFonts w:ascii="Verdana" w:hAnsi="Verdana"/>
          <w:color w:val="333333"/>
          <w:sz w:val="27"/>
          <w:szCs w:val="27"/>
        </w:rPr>
        <w:t>司法部</w:t>
      </w:r>
    </w:p>
    <w:p w:rsidR="00A56C48" w:rsidRDefault="00A56C48" w:rsidP="00A56C48">
      <w:pPr>
        <w:pStyle w:val="a4"/>
        <w:jc w:val="center"/>
        <w:rPr>
          <w:rStyle w:val="a3"/>
          <w:rFonts w:ascii="Verdana" w:hAnsi="Verdana"/>
          <w:color w:val="333333"/>
          <w:sz w:val="27"/>
          <w:szCs w:val="27"/>
        </w:rPr>
      </w:pPr>
      <w:r>
        <w:rPr>
          <w:rStyle w:val="a3"/>
          <w:rFonts w:ascii="Verdana" w:hAnsi="Verdana"/>
          <w:color w:val="333333"/>
          <w:sz w:val="27"/>
          <w:szCs w:val="27"/>
        </w:rPr>
        <w:t>关于适用认罪认罚从宽制度的指导意见</w:t>
      </w:r>
    </w:p>
    <w:p w:rsidR="000B4793" w:rsidRDefault="000B4793" w:rsidP="00A56C48">
      <w:pPr>
        <w:pStyle w:val="a4"/>
        <w:jc w:val="center"/>
      </w:pPr>
      <w:r>
        <w:rPr>
          <w:rStyle w:val="a3"/>
          <w:rFonts w:ascii="Verdana" w:hAnsi="Verdana" w:hint="eastAsia"/>
          <w:color w:val="333333"/>
          <w:sz w:val="27"/>
          <w:szCs w:val="27"/>
        </w:rPr>
        <w:t>2019</w:t>
      </w:r>
      <w:r>
        <w:rPr>
          <w:rStyle w:val="a3"/>
          <w:rFonts w:ascii="Verdana" w:hAnsi="Verdana" w:hint="eastAsia"/>
          <w:color w:val="333333"/>
          <w:sz w:val="27"/>
          <w:szCs w:val="27"/>
        </w:rPr>
        <w:t>年</w:t>
      </w:r>
      <w:r>
        <w:rPr>
          <w:rStyle w:val="a3"/>
          <w:rFonts w:ascii="Verdana" w:hAnsi="Verdana" w:hint="eastAsia"/>
          <w:color w:val="333333"/>
          <w:sz w:val="27"/>
          <w:szCs w:val="27"/>
        </w:rPr>
        <w:t>10</w:t>
      </w:r>
      <w:r>
        <w:rPr>
          <w:rStyle w:val="a3"/>
          <w:rFonts w:ascii="Verdana" w:hAnsi="Verdana" w:hint="eastAsia"/>
          <w:color w:val="333333"/>
          <w:sz w:val="27"/>
          <w:szCs w:val="27"/>
        </w:rPr>
        <w:t>月</w:t>
      </w:r>
    </w:p>
    <w:p w:rsidR="00A56C48" w:rsidRDefault="00A56C48" w:rsidP="00A56C48">
      <w:pPr>
        <w:pStyle w:val="a4"/>
      </w:pPr>
      <w:r>
        <w:rPr>
          <w:rFonts w:ascii="Verdana" w:hAnsi="Verdana"/>
          <w:color w:val="333333"/>
          <w:sz w:val="27"/>
          <w:szCs w:val="27"/>
        </w:rPr>
        <w:t xml:space="preserve">　　适用认罪认罚从宽制度，对准确及时惩罚犯罪、强化人权司法保障、推动刑事案件繁简分流、节约司法资源、化解社会矛盾、推动国家治理体系和治理能力现代化，具有重要意义。为贯彻落实修改后刑事诉讼法，确保认罪认罚从宽制度正确有效实施，根据法律和有关规定，结合司法工作实际，制定本意见。</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一、基本原则</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w:t>
      </w:r>
      <w:r>
        <w:rPr>
          <w:rFonts w:ascii="Verdana" w:hAnsi="Verdana"/>
          <w:color w:val="333333"/>
          <w:sz w:val="27"/>
          <w:szCs w:val="27"/>
        </w:rPr>
        <w:t>贯彻宽严相济刑事政策。落实认罪认罚从宽制度，应当根据犯罪的具体情况，区分案件性质、情节和对社会的危害程度，实行区别对待，做到该宽则宽，当</w:t>
      </w:r>
      <w:proofErr w:type="gramStart"/>
      <w:r>
        <w:rPr>
          <w:rFonts w:ascii="Verdana" w:hAnsi="Verdana"/>
          <w:color w:val="333333"/>
          <w:sz w:val="27"/>
          <w:szCs w:val="27"/>
        </w:rPr>
        <w:t>严则严</w:t>
      </w:r>
      <w:proofErr w:type="gramEnd"/>
      <w:r>
        <w:rPr>
          <w:rFonts w:ascii="Verdana" w:hAnsi="Verdana"/>
          <w:color w:val="333333"/>
          <w:sz w:val="27"/>
          <w:szCs w:val="27"/>
        </w:rPr>
        <w:t>，宽严相济，罚当其罪。对可能判处三年有期徒刑以下刑罚的认罪认罚案件，要尽量依法从简从快从宽办理，探索相适应的处理原则和办案方式</w:t>
      </w:r>
      <w:r>
        <w:rPr>
          <w:rFonts w:ascii="Verdana" w:hAnsi="Verdana"/>
          <w:color w:val="333333"/>
          <w:sz w:val="27"/>
          <w:szCs w:val="27"/>
        </w:rPr>
        <w:t>;</w:t>
      </w:r>
      <w:r>
        <w:rPr>
          <w:rFonts w:ascii="Verdana" w:hAnsi="Verdana"/>
          <w:color w:val="333333"/>
          <w:sz w:val="27"/>
          <w:szCs w:val="27"/>
        </w:rPr>
        <w:t>对因民间矛盾引发的犯罪，犯罪嫌疑人、被告人自愿认罪、真诚悔罪并取得谅解、达成和解、尚未严重影响人民群众安全感的，要积极适用认罪认罚从宽制度，特别是对其中社会危害不大的初犯、偶犯、过失犯、未成年犯，一般应当体现从宽</w:t>
      </w:r>
      <w:r>
        <w:rPr>
          <w:rFonts w:ascii="Verdana" w:hAnsi="Verdana"/>
          <w:color w:val="333333"/>
          <w:sz w:val="27"/>
          <w:szCs w:val="27"/>
        </w:rPr>
        <w:t>;</w:t>
      </w:r>
      <w:r>
        <w:rPr>
          <w:rFonts w:ascii="Verdana" w:hAnsi="Verdana"/>
          <w:color w:val="333333"/>
          <w:sz w:val="27"/>
          <w:szCs w:val="27"/>
        </w:rPr>
        <w:t>对严重危害国家安全、公共安全犯罪，严重暴力犯罪，以及社会普遍关注的重大</w:t>
      </w:r>
      <w:r>
        <w:rPr>
          <w:rFonts w:ascii="Verdana" w:hAnsi="Verdana"/>
          <w:color w:val="333333"/>
          <w:sz w:val="27"/>
          <w:szCs w:val="27"/>
        </w:rPr>
        <w:lastRenderedPageBreak/>
        <w:t>敏感案件，应当慎重把握从宽，避免案件处理明显违背人民群众的公平正义观念。</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w:t>
      </w:r>
      <w:r>
        <w:rPr>
          <w:rFonts w:ascii="Verdana" w:hAnsi="Verdana"/>
          <w:color w:val="333333"/>
          <w:sz w:val="27"/>
          <w:szCs w:val="27"/>
        </w:rPr>
        <w:t>坚持</w:t>
      </w:r>
      <w:proofErr w:type="gramStart"/>
      <w:r>
        <w:rPr>
          <w:rFonts w:ascii="Verdana" w:hAnsi="Verdana"/>
          <w:color w:val="333333"/>
          <w:sz w:val="27"/>
          <w:szCs w:val="27"/>
        </w:rPr>
        <w:t>罪责刑相适应</w:t>
      </w:r>
      <w:proofErr w:type="gramEnd"/>
      <w:r>
        <w:rPr>
          <w:rFonts w:ascii="Verdana" w:hAnsi="Verdana"/>
          <w:color w:val="333333"/>
          <w:sz w:val="27"/>
          <w:szCs w:val="27"/>
        </w:rPr>
        <w:t>原则。办理认罪认罚案件，既要考虑体现认罪认罚从宽，又要考虑其所犯罪行的轻重、应负刑事责任和人身危险性的大小，依照法律规定提出量刑建议，准确裁量刑罚，确保罚当其罪，避免罪刑失衡。特别是对于共同犯罪案件，主犯认罪认罚，从犯不认罪认罚的，人民法院、人民检察院应当注意两者之间的量刑平衡，防止因量刑失当严重偏离一般的司法认知。</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w:t>
      </w:r>
      <w:r>
        <w:rPr>
          <w:rFonts w:ascii="Verdana" w:hAnsi="Verdana"/>
          <w:color w:val="333333"/>
          <w:sz w:val="27"/>
          <w:szCs w:val="27"/>
        </w:rPr>
        <w:t>坚持证据裁判原则。办理认罪认罚案件，应当以事实为根据，以法律为准绳，严格按照证据裁判要求，全面收集、固定、审查和认定证据。坚持法定证明标准，侦查终结、提起公诉、</w:t>
      </w:r>
      <w:proofErr w:type="gramStart"/>
      <w:r>
        <w:rPr>
          <w:rFonts w:ascii="Verdana" w:hAnsi="Verdana"/>
          <w:color w:val="333333"/>
          <w:sz w:val="27"/>
          <w:szCs w:val="27"/>
        </w:rPr>
        <w:t>作出</w:t>
      </w:r>
      <w:proofErr w:type="gramEnd"/>
      <w:r>
        <w:rPr>
          <w:rFonts w:ascii="Verdana" w:hAnsi="Verdana"/>
          <w:color w:val="333333"/>
          <w:sz w:val="27"/>
          <w:szCs w:val="27"/>
        </w:rPr>
        <w:t>有罪裁判应当做到犯罪事实清楚，证据确实、充分，防止因犯罪嫌疑人、被告人认罪而降低证据要求和证明标准。对犯罪嫌疑人、被告人认罪认罚，但证据不足，不能认定其有罪的，依法</w:t>
      </w:r>
      <w:proofErr w:type="gramStart"/>
      <w:r>
        <w:rPr>
          <w:rFonts w:ascii="Verdana" w:hAnsi="Verdana"/>
          <w:color w:val="333333"/>
          <w:sz w:val="27"/>
          <w:szCs w:val="27"/>
        </w:rPr>
        <w:t>作出</w:t>
      </w:r>
      <w:proofErr w:type="gramEnd"/>
      <w:r>
        <w:rPr>
          <w:rFonts w:ascii="Verdana" w:hAnsi="Verdana"/>
          <w:color w:val="333333"/>
          <w:sz w:val="27"/>
          <w:szCs w:val="27"/>
        </w:rPr>
        <w:t>撤销案件、不起诉决定或者宣告无罪。</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w:t>
      </w:r>
      <w:r>
        <w:rPr>
          <w:rFonts w:ascii="Verdana" w:hAnsi="Verdana"/>
          <w:color w:val="333333"/>
          <w:sz w:val="27"/>
          <w:szCs w:val="27"/>
        </w:rPr>
        <w:t>坚持公检法三机关配合制约原则。办理认罪认罚案件，公、检、法三机关应当分工负责、互相配合、互相制约，保证犯罪嫌疑人、被告人自愿认罪认罚，依法推进从宽落实。要严格执法、公正司法，强化对自身执法司法办案活动的监督，防止产生</w:t>
      </w:r>
      <w:r>
        <w:rPr>
          <w:rFonts w:ascii="Verdana" w:hAnsi="Verdana"/>
          <w:color w:val="333333"/>
          <w:sz w:val="27"/>
          <w:szCs w:val="27"/>
        </w:rPr>
        <w:t>“</w:t>
      </w:r>
      <w:r>
        <w:rPr>
          <w:rFonts w:ascii="Verdana" w:hAnsi="Verdana"/>
          <w:color w:val="333333"/>
          <w:sz w:val="27"/>
          <w:szCs w:val="27"/>
        </w:rPr>
        <w:t>权权交易</w:t>
      </w:r>
      <w:r>
        <w:rPr>
          <w:rFonts w:ascii="Verdana" w:hAnsi="Verdana"/>
          <w:color w:val="333333"/>
          <w:sz w:val="27"/>
          <w:szCs w:val="27"/>
        </w:rPr>
        <w:t>”</w:t>
      </w:r>
      <w:r>
        <w:rPr>
          <w:rFonts w:ascii="Verdana" w:hAnsi="Verdana"/>
          <w:color w:val="333333"/>
          <w:sz w:val="27"/>
          <w:szCs w:val="27"/>
        </w:rPr>
        <w:t>、</w:t>
      </w:r>
      <w:r>
        <w:rPr>
          <w:rFonts w:ascii="Verdana" w:hAnsi="Verdana"/>
          <w:color w:val="333333"/>
          <w:sz w:val="27"/>
          <w:szCs w:val="27"/>
        </w:rPr>
        <w:t>“</w:t>
      </w:r>
      <w:r>
        <w:rPr>
          <w:rFonts w:ascii="Verdana" w:hAnsi="Verdana"/>
          <w:color w:val="333333"/>
          <w:sz w:val="27"/>
          <w:szCs w:val="27"/>
        </w:rPr>
        <w:t>权钱交易</w:t>
      </w:r>
      <w:r>
        <w:rPr>
          <w:rFonts w:ascii="Verdana" w:hAnsi="Verdana"/>
          <w:color w:val="333333"/>
          <w:sz w:val="27"/>
          <w:szCs w:val="27"/>
        </w:rPr>
        <w:t>”</w:t>
      </w:r>
      <w:r>
        <w:rPr>
          <w:rFonts w:ascii="Verdana" w:hAnsi="Verdana"/>
          <w:color w:val="333333"/>
          <w:sz w:val="27"/>
          <w:szCs w:val="27"/>
        </w:rPr>
        <w:t>等司法腐败问题。</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二、适用范围和适用条件</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5.</w:t>
      </w:r>
      <w:r>
        <w:rPr>
          <w:rFonts w:ascii="Verdana" w:hAnsi="Verdana"/>
          <w:color w:val="333333"/>
          <w:sz w:val="27"/>
          <w:szCs w:val="27"/>
        </w:rPr>
        <w:t>适用阶段和适用案件范围。认罪认罚从宽制度贯穿刑事诉讼全过程，适用于侦查、起诉、审判各个阶段。</w:t>
      </w:r>
    </w:p>
    <w:p w:rsidR="00A56C48" w:rsidRDefault="00A56C48" w:rsidP="00A56C48">
      <w:pPr>
        <w:pStyle w:val="a4"/>
      </w:pPr>
      <w:r>
        <w:rPr>
          <w:rFonts w:ascii="Verdana" w:hAnsi="Verdana"/>
          <w:color w:val="333333"/>
          <w:sz w:val="27"/>
          <w:szCs w:val="27"/>
        </w:rPr>
        <w:t xml:space="preserve">　　认罪认罚从宽制度没有适用罪名和可能判处刑罚的限定，所有刑事案件都可以适用，不能因罪轻、罪重或者罪名特殊等原因而剥夺犯罪嫌疑人、被告人自愿认罪认罚获得从宽处理的机会。但</w:t>
      </w:r>
      <w:r>
        <w:rPr>
          <w:rFonts w:ascii="Verdana" w:hAnsi="Verdana"/>
          <w:color w:val="333333"/>
          <w:sz w:val="27"/>
          <w:szCs w:val="27"/>
        </w:rPr>
        <w:t>“</w:t>
      </w:r>
      <w:r>
        <w:rPr>
          <w:rFonts w:ascii="Verdana" w:hAnsi="Verdana"/>
          <w:color w:val="333333"/>
          <w:sz w:val="27"/>
          <w:szCs w:val="27"/>
        </w:rPr>
        <w:t>可以</w:t>
      </w:r>
      <w:r>
        <w:rPr>
          <w:rFonts w:ascii="Verdana" w:hAnsi="Verdana"/>
          <w:color w:val="333333"/>
          <w:sz w:val="27"/>
          <w:szCs w:val="27"/>
        </w:rPr>
        <w:t>”</w:t>
      </w:r>
      <w:r>
        <w:rPr>
          <w:rFonts w:ascii="Verdana" w:hAnsi="Verdana"/>
          <w:color w:val="333333"/>
          <w:sz w:val="27"/>
          <w:szCs w:val="27"/>
        </w:rPr>
        <w:t>适用不是一律适用，犯罪嫌疑人、被告人认罪认罚后是否从宽，由司法机关根据案件具体情况决定。</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6.“</w:t>
      </w:r>
      <w:r>
        <w:rPr>
          <w:rFonts w:ascii="Verdana" w:hAnsi="Verdana"/>
          <w:color w:val="333333"/>
          <w:sz w:val="27"/>
          <w:szCs w:val="27"/>
        </w:rPr>
        <w:t>认罪</w:t>
      </w:r>
      <w:r>
        <w:rPr>
          <w:rFonts w:ascii="Verdana" w:hAnsi="Verdana"/>
          <w:color w:val="333333"/>
          <w:sz w:val="27"/>
          <w:szCs w:val="27"/>
        </w:rPr>
        <w:t>”</w:t>
      </w:r>
      <w:r>
        <w:rPr>
          <w:rFonts w:ascii="Verdana" w:hAnsi="Verdana"/>
          <w:color w:val="333333"/>
          <w:sz w:val="27"/>
          <w:szCs w:val="27"/>
        </w:rPr>
        <w:t>的把握。认罪认罚从宽制度中的</w:t>
      </w:r>
      <w:r>
        <w:rPr>
          <w:rFonts w:ascii="Verdana" w:hAnsi="Verdana"/>
          <w:color w:val="333333"/>
          <w:sz w:val="27"/>
          <w:szCs w:val="27"/>
        </w:rPr>
        <w:t>“</w:t>
      </w:r>
      <w:r>
        <w:rPr>
          <w:rFonts w:ascii="Verdana" w:hAnsi="Verdana"/>
          <w:color w:val="333333"/>
          <w:sz w:val="27"/>
          <w:szCs w:val="27"/>
        </w:rPr>
        <w:t>认罪</w:t>
      </w:r>
      <w:r>
        <w:rPr>
          <w:rFonts w:ascii="Verdana" w:hAnsi="Verdana"/>
          <w:color w:val="333333"/>
          <w:sz w:val="27"/>
          <w:szCs w:val="27"/>
        </w:rPr>
        <w:t>”</w:t>
      </w:r>
      <w:r>
        <w:rPr>
          <w:rFonts w:ascii="Verdana" w:hAnsi="Verdana"/>
          <w:color w:val="333333"/>
          <w:sz w:val="27"/>
          <w:szCs w:val="27"/>
        </w:rPr>
        <w:t>，是指犯罪嫌疑人、被告人自愿如实供述自己的罪行，对指控的犯罪事实没有异议。承认指控的主要犯罪事实，仅对个别事实情节提出异议，或者虽然对行为性质提出辩解但表示接受司法机关认定意见的，不影响</w:t>
      </w:r>
      <w:r>
        <w:rPr>
          <w:rFonts w:ascii="Verdana" w:hAnsi="Verdana"/>
          <w:color w:val="333333"/>
          <w:sz w:val="27"/>
          <w:szCs w:val="27"/>
        </w:rPr>
        <w:t>“</w:t>
      </w:r>
      <w:r>
        <w:rPr>
          <w:rFonts w:ascii="Verdana" w:hAnsi="Verdana"/>
          <w:color w:val="333333"/>
          <w:sz w:val="27"/>
          <w:szCs w:val="27"/>
        </w:rPr>
        <w:t>认罪</w:t>
      </w:r>
      <w:r>
        <w:rPr>
          <w:rFonts w:ascii="Verdana" w:hAnsi="Verdana"/>
          <w:color w:val="333333"/>
          <w:sz w:val="27"/>
          <w:szCs w:val="27"/>
        </w:rPr>
        <w:t>”</w:t>
      </w:r>
      <w:r>
        <w:rPr>
          <w:rFonts w:ascii="Verdana" w:hAnsi="Verdana"/>
          <w:color w:val="333333"/>
          <w:sz w:val="27"/>
          <w:szCs w:val="27"/>
        </w:rPr>
        <w:t>的认定。犯罪嫌疑人、被告人犯数罪，仅如实供述其中</w:t>
      </w:r>
      <w:proofErr w:type="gramStart"/>
      <w:r>
        <w:rPr>
          <w:rFonts w:ascii="Verdana" w:hAnsi="Verdana"/>
          <w:color w:val="333333"/>
          <w:sz w:val="27"/>
          <w:szCs w:val="27"/>
        </w:rPr>
        <w:t>一</w:t>
      </w:r>
      <w:proofErr w:type="gramEnd"/>
      <w:r>
        <w:rPr>
          <w:rFonts w:ascii="Verdana" w:hAnsi="Verdana"/>
          <w:color w:val="333333"/>
          <w:sz w:val="27"/>
          <w:szCs w:val="27"/>
        </w:rPr>
        <w:t>罪或部分罪名事实的，全案不作</w:t>
      </w:r>
      <w:r>
        <w:rPr>
          <w:rFonts w:ascii="Verdana" w:hAnsi="Verdana"/>
          <w:color w:val="333333"/>
          <w:sz w:val="27"/>
          <w:szCs w:val="27"/>
        </w:rPr>
        <w:t>“</w:t>
      </w:r>
      <w:r>
        <w:rPr>
          <w:rFonts w:ascii="Verdana" w:hAnsi="Verdana"/>
          <w:color w:val="333333"/>
          <w:sz w:val="27"/>
          <w:szCs w:val="27"/>
        </w:rPr>
        <w:t>认罪</w:t>
      </w:r>
      <w:r>
        <w:rPr>
          <w:rFonts w:ascii="Verdana" w:hAnsi="Verdana"/>
          <w:color w:val="333333"/>
          <w:sz w:val="27"/>
          <w:szCs w:val="27"/>
        </w:rPr>
        <w:t>”</w:t>
      </w:r>
      <w:r>
        <w:rPr>
          <w:rFonts w:ascii="Verdana" w:hAnsi="Verdana"/>
          <w:color w:val="333333"/>
          <w:sz w:val="27"/>
          <w:szCs w:val="27"/>
        </w:rPr>
        <w:t>的认定，不适用认罪认罚从宽制度，但对如实供述的部分，人民检察院可以提出从宽处罚的建议，人民法院可以从宽处罚。</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7.“</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的把握。认罪认罚从宽制度中的</w:t>
      </w:r>
      <w:r>
        <w:rPr>
          <w:rFonts w:ascii="Verdana" w:hAnsi="Verdana"/>
          <w:color w:val="333333"/>
          <w:sz w:val="27"/>
          <w:szCs w:val="27"/>
        </w:rPr>
        <w:t>“</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，是指犯罪嫌疑人、被告人真诚悔罪，愿意接受处罚。</w:t>
      </w:r>
      <w:r>
        <w:rPr>
          <w:rFonts w:ascii="Verdana" w:hAnsi="Verdana"/>
          <w:color w:val="333333"/>
          <w:sz w:val="27"/>
          <w:szCs w:val="27"/>
        </w:rPr>
        <w:t>“</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，在侦查阶段表现为表示愿意接受处罚</w:t>
      </w:r>
      <w:r>
        <w:rPr>
          <w:rFonts w:ascii="Verdana" w:hAnsi="Verdana"/>
          <w:color w:val="333333"/>
          <w:sz w:val="27"/>
          <w:szCs w:val="27"/>
        </w:rPr>
        <w:t>;</w:t>
      </w:r>
      <w:r>
        <w:rPr>
          <w:rFonts w:ascii="Verdana" w:hAnsi="Verdana"/>
          <w:color w:val="333333"/>
          <w:sz w:val="27"/>
          <w:szCs w:val="27"/>
        </w:rPr>
        <w:t>在审查起诉阶段表现为接受人民检察院拟作出的起诉或不起诉决定，认可人民检察院的量刑建议，签署认罪认罚具结书</w:t>
      </w:r>
      <w:r>
        <w:rPr>
          <w:rFonts w:ascii="Verdana" w:hAnsi="Verdana"/>
          <w:color w:val="333333"/>
          <w:sz w:val="27"/>
          <w:szCs w:val="27"/>
        </w:rPr>
        <w:t>;</w:t>
      </w:r>
      <w:r>
        <w:rPr>
          <w:rFonts w:ascii="Verdana" w:hAnsi="Verdana"/>
          <w:color w:val="333333"/>
          <w:sz w:val="27"/>
          <w:szCs w:val="27"/>
        </w:rPr>
        <w:t>在审判阶段表现为当庭确认自愿签署具结书，愿意接受刑罚处罚。</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考察的重点是犯罪嫌疑人、被告人的悔罪态度和悔罪表现，应当结合退赃退赔、赔偿损失、赔礼道歉等因素来</w:t>
      </w:r>
      <w:proofErr w:type="gramStart"/>
      <w:r>
        <w:rPr>
          <w:rFonts w:ascii="Verdana" w:hAnsi="Verdana"/>
          <w:color w:val="333333"/>
          <w:sz w:val="27"/>
          <w:szCs w:val="27"/>
        </w:rPr>
        <w:t>考量</w:t>
      </w:r>
      <w:proofErr w:type="gramEnd"/>
      <w:r>
        <w:rPr>
          <w:rFonts w:ascii="Verdana" w:hAnsi="Verdana"/>
          <w:color w:val="333333"/>
          <w:sz w:val="27"/>
          <w:szCs w:val="27"/>
        </w:rPr>
        <w:t>。犯罪嫌疑人、被告人虽然表示</w:t>
      </w:r>
      <w:r>
        <w:rPr>
          <w:rFonts w:ascii="Verdana" w:hAnsi="Verdana"/>
          <w:color w:val="333333"/>
          <w:sz w:val="27"/>
          <w:szCs w:val="27"/>
        </w:rPr>
        <w:t>“</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，却暗中串供、干扰证人作证、毁灭、伪造证据或者隐匿、转移财产，有赔偿能力而不赔偿损失，则不能适用认罪认罚从宽制度。犯罪嫌疑人、被告人享有程序选择权，不同意</w:t>
      </w:r>
      <w:proofErr w:type="gramStart"/>
      <w:r>
        <w:rPr>
          <w:rFonts w:ascii="Verdana" w:hAnsi="Verdana"/>
          <w:color w:val="333333"/>
          <w:sz w:val="27"/>
          <w:szCs w:val="27"/>
        </w:rPr>
        <w:t>适用速裁程序</w:t>
      </w:r>
      <w:proofErr w:type="gramEnd"/>
      <w:r>
        <w:rPr>
          <w:rFonts w:ascii="Verdana" w:hAnsi="Verdana"/>
          <w:color w:val="333333"/>
          <w:sz w:val="27"/>
          <w:szCs w:val="27"/>
        </w:rPr>
        <w:t>、简易程序的，不影响</w:t>
      </w:r>
      <w:r>
        <w:rPr>
          <w:rFonts w:ascii="Verdana" w:hAnsi="Verdana"/>
          <w:color w:val="333333"/>
          <w:sz w:val="27"/>
          <w:szCs w:val="27"/>
        </w:rPr>
        <w:t>“</w:t>
      </w:r>
      <w:r>
        <w:rPr>
          <w:rFonts w:ascii="Verdana" w:hAnsi="Verdana"/>
          <w:color w:val="333333"/>
          <w:sz w:val="27"/>
          <w:szCs w:val="27"/>
        </w:rPr>
        <w:t>认罚</w:t>
      </w:r>
      <w:r>
        <w:rPr>
          <w:rFonts w:ascii="Verdana" w:hAnsi="Verdana"/>
          <w:color w:val="333333"/>
          <w:sz w:val="27"/>
          <w:szCs w:val="27"/>
        </w:rPr>
        <w:t>”</w:t>
      </w:r>
      <w:r>
        <w:rPr>
          <w:rFonts w:ascii="Verdana" w:hAnsi="Verdana"/>
          <w:color w:val="333333"/>
          <w:sz w:val="27"/>
          <w:szCs w:val="27"/>
        </w:rPr>
        <w:t>的认定。</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三、认罪认罚后</w:t>
      </w:r>
      <w:r>
        <w:rPr>
          <w:rStyle w:val="a3"/>
          <w:rFonts w:ascii="Verdana" w:hAnsi="Verdana"/>
          <w:color w:val="333333"/>
          <w:sz w:val="27"/>
          <w:szCs w:val="27"/>
        </w:rPr>
        <w:t>“</w:t>
      </w:r>
      <w:r>
        <w:rPr>
          <w:rStyle w:val="a3"/>
          <w:rFonts w:ascii="Verdana" w:hAnsi="Verdana"/>
          <w:color w:val="333333"/>
          <w:sz w:val="27"/>
          <w:szCs w:val="27"/>
        </w:rPr>
        <w:t>从宽</w:t>
      </w:r>
      <w:r>
        <w:rPr>
          <w:rStyle w:val="a3"/>
          <w:rFonts w:ascii="Verdana" w:hAnsi="Verdana"/>
          <w:color w:val="333333"/>
          <w:sz w:val="27"/>
          <w:szCs w:val="27"/>
        </w:rPr>
        <w:t>”</w:t>
      </w:r>
      <w:r>
        <w:rPr>
          <w:rStyle w:val="a3"/>
          <w:rFonts w:ascii="Verdana" w:hAnsi="Verdana"/>
          <w:color w:val="333333"/>
          <w:sz w:val="27"/>
          <w:szCs w:val="27"/>
        </w:rPr>
        <w:t>的把握</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8.“</w:t>
      </w:r>
      <w:r>
        <w:rPr>
          <w:rFonts w:ascii="Verdana" w:hAnsi="Verdana"/>
          <w:color w:val="333333"/>
          <w:sz w:val="27"/>
          <w:szCs w:val="27"/>
        </w:rPr>
        <w:t>从宽</w:t>
      </w:r>
      <w:r>
        <w:rPr>
          <w:rFonts w:ascii="Verdana" w:hAnsi="Verdana"/>
          <w:color w:val="333333"/>
          <w:sz w:val="27"/>
          <w:szCs w:val="27"/>
        </w:rPr>
        <w:t>”</w:t>
      </w:r>
      <w:r>
        <w:rPr>
          <w:rFonts w:ascii="Verdana" w:hAnsi="Verdana"/>
          <w:color w:val="333333"/>
          <w:sz w:val="27"/>
          <w:szCs w:val="27"/>
        </w:rPr>
        <w:t>的理解。从宽处理既包括实体上从宽处罚，也包括程序上从简处理。</w:t>
      </w:r>
      <w:r>
        <w:rPr>
          <w:rFonts w:ascii="Verdana" w:hAnsi="Verdana"/>
          <w:color w:val="333333"/>
          <w:sz w:val="27"/>
          <w:szCs w:val="27"/>
        </w:rPr>
        <w:t>“</w:t>
      </w:r>
      <w:r>
        <w:rPr>
          <w:rFonts w:ascii="Verdana" w:hAnsi="Verdana"/>
          <w:color w:val="333333"/>
          <w:sz w:val="27"/>
          <w:szCs w:val="27"/>
        </w:rPr>
        <w:t>可以从宽</w:t>
      </w:r>
      <w:r>
        <w:rPr>
          <w:rFonts w:ascii="Verdana" w:hAnsi="Verdana"/>
          <w:color w:val="333333"/>
          <w:sz w:val="27"/>
          <w:szCs w:val="27"/>
        </w:rPr>
        <w:t>”</w:t>
      </w:r>
      <w:r>
        <w:rPr>
          <w:rFonts w:ascii="Verdana" w:hAnsi="Verdana"/>
          <w:color w:val="333333"/>
          <w:sz w:val="27"/>
          <w:szCs w:val="27"/>
        </w:rPr>
        <w:t>，是指一般应当体现法律规定和政策精神，予以从宽处理。但可以从宽不是一律从宽，对犯罪性质和危害后果特别严重、犯罪手段特别残忍、社会影响特别恶劣的犯罪嫌疑人、被告人，认罪认罚不足以从轻处罚的，依法不予从宽处罚。</w:t>
      </w:r>
    </w:p>
    <w:p w:rsidR="00A56C48" w:rsidRDefault="00A56C48" w:rsidP="00A56C48">
      <w:pPr>
        <w:pStyle w:val="a4"/>
      </w:pPr>
      <w:r>
        <w:rPr>
          <w:rFonts w:ascii="Verdana" w:hAnsi="Verdana"/>
          <w:color w:val="333333"/>
          <w:sz w:val="27"/>
          <w:szCs w:val="27"/>
        </w:rPr>
        <w:t xml:space="preserve">　　办理认罪认罚案件，应当依照刑法、刑事诉讼法的基本原则，根据犯罪的事实、性质、情节和对社会的危害程度，结合法定、酌定的量刑情节，综合考虑认罪认罚的具体情况，依法决定是否从宽、如何从宽。对于减轻、免除处罚，应当于法有据</w:t>
      </w:r>
      <w:r>
        <w:rPr>
          <w:rFonts w:ascii="Verdana" w:hAnsi="Verdana"/>
          <w:color w:val="333333"/>
          <w:sz w:val="27"/>
          <w:szCs w:val="27"/>
        </w:rPr>
        <w:t>;</w:t>
      </w:r>
      <w:r>
        <w:rPr>
          <w:rFonts w:ascii="Verdana" w:hAnsi="Verdana"/>
          <w:color w:val="333333"/>
          <w:sz w:val="27"/>
          <w:szCs w:val="27"/>
        </w:rPr>
        <w:t>不具备减轻处罚情节的，应当在法定幅度以内提出从轻处罚的量刑建议和量刑</w:t>
      </w:r>
      <w:r>
        <w:rPr>
          <w:rFonts w:ascii="Verdana" w:hAnsi="Verdana"/>
          <w:color w:val="333333"/>
          <w:sz w:val="27"/>
          <w:szCs w:val="27"/>
        </w:rPr>
        <w:t>;</w:t>
      </w:r>
      <w:r>
        <w:rPr>
          <w:rFonts w:ascii="Verdana" w:hAnsi="Verdana"/>
          <w:color w:val="333333"/>
          <w:sz w:val="27"/>
          <w:szCs w:val="27"/>
        </w:rPr>
        <w:t>对其中犯罪情节轻微不需要判处刑罚的，可以依法</w:t>
      </w:r>
      <w:proofErr w:type="gramStart"/>
      <w:r>
        <w:rPr>
          <w:rFonts w:ascii="Verdana" w:hAnsi="Verdana"/>
          <w:color w:val="333333"/>
          <w:sz w:val="27"/>
          <w:szCs w:val="27"/>
        </w:rPr>
        <w:t>作出</w:t>
      </w:r>
      <w:proofErr w:type="gramEnd"/>
      <w:r>
        <w:rPr>
          <w:rFonts w:ascii="Verdana" w:hAnsi="Verdana"/>
          <w:color w:val="333333"/>
          <w:sz w:val="27"/>
          <w:szCs w:val="27"/>
        </w:rPr>
        <w:t>不起诉决定或者判决免予刑事处罚。</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9.</w:t>
      </w:r>
      <w:r>
        <w:rPr>
          <w:rFonts w:ascii="Verdana" w:hAnsi="Verdana"/>
          <w:color w:val="333333"/>
          <w:sz w:val="27"/>
          <w:szCs w:val="27"/>
        </w:rPr>
        <w:t>从宽幅度的把握。办理认罪认罚案件，应当区别认罪认罚的不同诉讼阶段、对查明案件事实的价值和意义、是否确有悔罪表现，以及罪</w:t>
      </w:r>
      <w:r>
        <w:rPr>
          <w:rFonts w:ascii="Verdana" w:hAnsi="Verdana"/>
          <w:color w:val="333333"/>
          <w:sz w:val="27"/>
          <w:szCs w:val="27"/>
        </w:rPr>
        <w:lastRenderedPageBreak/>
        <w:t>行严重程度等，综合</w:t>
      </w:r>
      <w:proofErr w:type="gramStart"/>
      <w:r>
        <w:rPr>
          <w:rFonts w:ascii="Verdana" w:hAnsi="Verdana"/>
          <w:color w:val="333333"/>
          <w:sz w:val="27"/>
          <w:szCs w:val="27"/>
        </w:rPr>
        <w:t>考量</w:t>
      </w:r>
      <w:proofErr w:type="gramEnd"/>
      <w:r>
        <w:rPr>
          <w:rFonts w:ascii="Verdana" w:hAnsi="Verdana"/>
          <w:color w:val="333333"/>
          <w:sz w:val="27"/>
          <w:szCs w:val="27"/>
        </w:rPr>
        <w:t>确定从宽的限度和幅度。在刑罚评价上，主动认罪优于被动认罪，早认罪优于晚认罪，彻底认罪优于不彻底认罪，稳定认罪优于不稳定认罪。</w:t>
      </w:r>
    </w:p>
    <w:p w:rsidR="00A56C48" w:rsidRDefault="00A56C48" w:rsidP="00A56C48">
      <w:pPr>
        <w:pStyle w:val="a4"/>
      </w:pPr>
      <w:r>
        <w:rPr>
          <w:rFonts w:ascii="Verdana" w:hAnsi="Verdana"/>
          <w:color w:val="333333"/>
          <w:sz w:val="27"/>
          <w:szCs w:val="27"/>
        </w:rPr>
        <w:t xml:space="preserve">　　认罪认罚的从宽幅度一般应当大于仅有坦白，或者虽认罪但</w:t>
      </w:r>
      <w:proofErr w:type="gramStart"/>
      <w:r>
        <w:rPr>
          <w:rFonts w:ascii="Verdana" w:hAnsi="Verdana"/>
          <w:color w:val="333333"/>
          <w:sz w:val="27"/>
          <w:szCs w:val="27"/>
        </w:rPr>
        <w:t>不</w:t>
      </w:r>
      <w:proofErr w:type="gramEnd"/>
      <w:r>
        <w:rPr>
          <w:rFonts w:ascii="Verdana" w:hAnsi="Verdana"/>
          <w:color w:val="333333"/>
          <w:sz w:val="27"/>
          <w:szCs w:val="27"/>
        </w:rPr>
        <w:t>认罚的从宽幅度。对犯罪嫌疑人、被告人具有自首、坦白情节，同时认罪认罚的，应当在法定刑幅度内给予相对更大的从宽幅度。认罪认罚与自首、坦白不作重复评价。</w:t>
      </w:r>
    </w:p>
    <w:p w:rsidR="00A56C48" w:rsidRDefault="00A56C48" w:rsidP="00A56C48">
      <w:pPr>
        <w:pStyle w:val="a4"/>
      </w:pPr>
      <w:r>
        <w:rPr>
          <w:rFonts w:ascii="Verdana" w:hAnsi="Verdana"/>
          <w:color w:val="333333"/>
          <w:sz w:val="27"/>
          <w:szCs w:val="27"/>
        </w:rPr>
        <w:t xml:space="preserve">　　对罪行较轻、人身危险性较小的，特别是初犯、偶犯，从宽幅度可以大一些</w:t>
      </w:r>
      <w:r>
        <w:rPr>
          <w:rFonts w:ascii="Verdana" w:hAnsi="Verdana"/>
          <w:color w:val="333333"/>
          <w:sz w:val="27"/>
          <w:szCs w:val="27"/>
        </w:rPr>
        <w:t>;</w:t>
      </w:r>
      <w:r>
        <w:rPr>
          <w:rFonts w:ascii="Verdana" w:hAnsi="Verdana"/>
          <w:color w:val="333333"/>
          <w:sz w:val="27"/>
          <w:szCs w:val="27"/>
        </w:rPr>
        <w:t>罪行较重、人身危险性较大的，以及累犯、再犯，从宽幅度应当从严把握。</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四、犯罪嫌疑人、被告人辩护权保障</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10.</w:t>
      </w:r>
      <w:r>
        <w:rPr>
          <w:rFonts w:ascii="Verdana" w:hAnsi="Verdana"/>
          <w:color w:val="333333"/>
          <w:sz w:val="27"/>
          <w:szCs w:val="27"/>
        </w:rPr>
        <w:t>获得法律帮助权。人民法院、人民检察院、公安机关办理认罪认罚案件，应当保障犯罪嫌疑人、被告人获得有效法律帮助，确保其了解认罪认罚的性质和法律后果，自愿认罪认罚。</w:t>
      </w:r>
    </w:p>
    <w:p w:rsidR="00A56C48" w:rsidRDefault="00A56C48" w:rsidP="00A56C48">
      <w:pPr>
        <w:pStyle w:val="a4"/>
      </w:pPr>
      <w:r>
        <w:rPr>
          <w:rFonts w:ascii="Verdana" w:hAnsi="Verdana"/>
          <w:color w:val="333333"/>
          <w:sz w:val="27"/>
          <w:szCs w:val="27"/>
        </w:rPr>
        <w:t xml:space="preserve">　　犯罪嫌疑人、被告人自愿认罪认罚，没有辩护人的，人民法院、人民检察院、公安机关</w:t>
      </w:r>
      <w:r>
        <w:rPr>
          <w:rFonts w:ascii="Verdana" w:hAnsi="Verdana"/>
          <w:color w:val="333333"/>
          <w:sz w:val="27"/>
          <w:szCs w:val="27"/>
        </w:rPr>
        <w:t>(</w:t>
      </w:r>
      <w:r>
        <w:rPr>
          <w:rFonts w:ascii="Verdana" w:hAnsi="Verdana"/>
          <w:color w:val="333333"/>
          <w:sz w:val="27"/>
          <w:szCs w:val="27"/>
        </w:rPr>
        <w:t>看守所</w:t>
      </w:r>
      <w:r>
        <w:rPr>
          <w:rFonts w:ascii="Verdana" w:hAnsi="Verdana"/>
          <w:color w:val="333333"/>
          <w:sz w:val="27"/>
          <w:szCs w:val="27"/>
        </w:rPr>
        <w:t>)</w:t>
      </w:r>
      <w:r>
        <w:rPr>
          <w:rFonts w:ascii="Verdana" w:hAnsi="Verdana"/>
          <w:color w:val="333333"/>
          <w:sz w:val="27"/>
          <w:szCs w:val="27"/>
        </w:rPr>
        <w:t>应当通知值班律师为其提供法律咨询、程序选择建议、申请变更强制措施等法律帮助。符合通知辩护条件的，应当依法通知法律援助机构指派律师为其提供辩护。</w:t>
      </w:r>
    </w:p>
    <w:p w:rsidR="00A56C48" w:rsidRDefault="00A56C48" w:rsidP="00A56C48">
      <w:pPr>
        <w:pStyle w:val="a4"/>
      </w:pPr>
      <w:r>
        <w:rPr>
          <w:rFonts w:ascii="Verdana" w:hAnsi="Verdana"/>
          <w:color w:val="333333"/>
          <w:sz w:val="27"/>
          <w:szCs w:val="27"/>
        </w:rPr>
        <w:lastRenderedPageBreak/>
        <w:t xml:space="preserve">　　人民法院、人民检察院、公安机关</w:t>
      </w:r>
      <w:r>
        <w:rPr>
          <w:rFonts w:ascii="Verdana" w:hAnsi="Verdana"/>
          <w:color w:val="333333"/>
          <w:sz w:val="27"/>
          <w:szCs w:val="27"/>
        </w:rPr>
        <w:t>(</w:t>
      </w:r>
      <w:r>
        <w:rPr>
          <w:rFonts w:ascii="Verdana" w:hAnsi="Verdana"/>
          <w:color w:val="333333"/>
          <w:sz w:val="27"/>
          <w:szCs w:val="27"/>
        </w:rPr>
        <w:t>看守所</w:t>
      </w:r>
      <w:r>
        <w:rPr>
          <w:rFonts w:ascii="Verdana" w:hAnsi="Verdana"/>
          <w:color w:val="333333"/>
          <w:sz w:val="27"/>
          <w:szCs w:val="27"/>
        </w:rPr>
        <w:t>)</w:t>
      </w:r>
      <w:r>
        <w:rPr>
          <w:rFonts w:ascii="Verdana" w:hAnsi="Verdana"/>
          <w:color w:val="333333"/>
          <w:sz w:val="27"/>
          <w:szCs w:val="27"/>
        </w:rPr>
        <w:t>应当告知犯罪嫌疑人、被告人有权约见值班律师，获得法律帮助，并为其约见值班律师提供便利。犯罪嫌疑人、被告人及其近亲属提出法律帮助请求的，人民法院、人民检察院、公安机关</w:t>
      </w:r>
      <w:r>
        <w:rPr>
          <w:rFonts w:ascii="Verdana" w:hAnsi="Verdana"/>
          <w:color w:val="333333"/>
          <w:sz w:val="27"/>
          <w:szCs w:val="27"/>
        </w:rPr>
        <w:t>(</w:t>
      </w:r>
      <w:r>
        <w:rPr>
          <w:rFonts w:ascii="Verdana" w:hAnsi="Verdana"/>
          <w:color w:val="333333"/>
          <w:sz w:val="27"/>
          <w:szCs w:val="27"/>
        </w:rPr>
        <w:t>看守所</w:t>
      </w:r>
      <w:r>
        <w:rPr>
          <w:rFonts w:ascii="Verdana" w:hAnsi="Verdana"/>
          <w:color w:val="333333"/>
          <w:sz w:val="27"/>
          <w:szCs w:val="27"/>
        </w:rPr>
        <w:t>)</w:t>
      </w:r>
      <w:r>
        <w:rPr>
          <w:rFonts w:ascii="Verdana" w:hAnsi="Verdana"/>
          <w:color w:val="333333"/>
          <w:sz w:val="27"/>
          <w:szCs w:val="27"/>
        </w:rPr>
        <w:t>应当通知值班律师为其提供法律帮助。</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11.</w:t>
      </w:r>
      <w:r>
        <w:rPr>
          <w:rFonts w:ascii="Verdana" w:hAnsi="Verdana"/>
          <w:color w:val="333333"/>
          <w:sz w:val="27"/>
          <w:szCs w:val="27"/>
        </w:rPr>
        <w:t>派驻值班律师。法律援助机构可以在人民法院、人民检察院、看守所派驻值班律师。人民法院、人民检察院、看守所应当为派驻值班律师提供必要办公场所和设施。</w:t>
      </w:r>
    </w:p>
    <w:p w:rsidR="00A56C48" w:rsidRDefault="00A56C48" w:rsidP="00A56C48">
      <w:pPr>
        <w:pStyle w:val="a4"/>
      </w:pPr>
      <w:r>
        <w:rPr>
          <w:rFonts w:ascii="Verdana" w:hAnsi="Verdana"/>
          <w:color w:val="333333"/>
          <w:sz w:val="27"/>
          <w:szCs w:val="27"/>
        </w:rPr>
        <w:t xml:space="preserve">　　法律援助机构应当根据人民法院、人民检察院、看守所的法律帮助需求和当地法律服务资源，合理安排值班律师。值班律师可以定期值班或轮流值班，律师资源短缺的地区可以通过探索现场值班和电话、网络值班相结合，在人民法院、人民检察院毗邻设置联合工作站，省内和市内统筹调配律师资源，以及建立政府购买值班律师服务机制等方式，保障法律援助值班律师工作有序开展。</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12.</w:t>
      </w:r>
      <w:r>
        <w:rPr>
          <w:rFonts w:ascii="Verdana" w:hAnsi="Verdana"/>
          <w:color w:val="333333"/>
          <w:sz w:val="27"/>
          <w:szCs w:val="27"/>
        </w:rPr>
        <w:t>值班律师的职责。值班律师应当维护犯罪嫌疑人、被告人的合法权益，确保犯罪嫌疑人、被告人在充分了解认罪认罚性质和法律后果的情况下，自愿认罪认罚。值班律师应当为认罪认罚的犯罪嫌疑人、被告人提供下列法律帮助：</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提供法律咨询，包括告知涉嫌或指控的罪名、相关法律规定，认罪认罚的性质和法律后果等</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提出程序适用的建议</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帮助申请变更强制措施</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r>
        <w:rPr>
          <w:rFonts w:ascii="Verdana" w:hAnsi="Verdana"/>
          <w:color w:val="333333"/>
          <w:sz w:val="27"/>
          <w:szCs w:val="27"/>
        </w:rPr>
        <w:t>对人民检察院认定罪名、量刑建议提出意见</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五</w:t>
      </w:r>
      <w:r>
        <w:rPr>
          <w:rFonts w:ascii="Verdana" w:hAnsi="Verdana"/>
          <w:color w:val="333333"/>
          <w:sz w:val="27"/>
          <w:szCs w:val="27"/>
        </w:rPr>
        <w:t>)</w:t>
      </w:r>
      <w:r>
        <w:rPr>
          <w:rFonts w:ascii="Verdana" w:hAnsi="Verdana"/>
          <w:color w:val="333333"/>
          <w:sz w:val="27"/>
          <w:szCs w:val="27"/>
        </w:rPr>
        <w:t>就案件处理，向人民法院、人民检察院、公安机关提出意见</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六</w:t>
      </w:r>
      <w:r>
        <w:rPr>
          <w:rFonts w:ascii="Verdana" w:hAnsi="Verdana"/>
          <w:color w:val="333333"/>
          <w:sz w:val="27"/>
          <w:szCs w:val="27"/>
        </w:rPr>
        <w:t>)</w:t>
      </w:r>
      <w:r>
        <w:rPr>
          <w:rFonts w:ascii="Verdana" w:hAnsi="Verdana"/>
          <w:color w:val="333333"/>
          <w:sz w:val="27"/>
          <w:szCs w:val="27"/>
        </w:rPr>
        <w:t>引导、帮助犯罪嫌疑人、被告人及其近亲属申请法律援助</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七</w:t>
      </w:r>
      <w:r>
        <w:rPr>
          <w:rFonts w:ascii="Verdana" w:hAnsi="Verdana"/>
          <w:color w:val="333333"/>
          <w:sz w:val="27"/>
          <w:szCs w:val="27"/>
        </w:rPr>
        <w:t>)</w:t>
      </w:r>
      <w:r>
        <w:rPr>
          <w:rFonts w:ascii="Verdana" w:hAnsi="Verdana"/>
          <w:color w:val="333333"/>
          <w:sz w:val="27"/>
          <w:szCs w:val="27"/>
        </w:rPr>
        <w:t>法律法规规定的其他事项。</w:t>
      </w:r>
    </w:p>
    <w:p w:rsidR="00A56C48" w:rsidRDefault="00A56C48" w:rsidP="00A56C48">
      <w:pPr>
        <w:pStyle w:val="a4"/>
      </w:pPr>
      <w:r>
        <w:rPr>
          <w:rFonts w:ascii="Verdana" w:hAnsi="Verdana"/>
          <w:color w:val="333333"/>
          <w:sz w:val="27"/>
          <w:szCs w:val="27"/>
        </w:rPr>
        <w:t xml:space="preserve">　　值班律师可以会见犯罪嫌疑人、被告人，看守所应当为值班律师会见提供便利。危害国家安全犯罪、恐怖活动犯罪案件，侦查期间值班律师会见在押犯罪嫌疑人的，应当经</w:t>
      </w:r>
      <w:proofErr w:type="gramStart"/>
      <w:r>
        <w:rPr>
          <w:rFonts w:ascii="Verdana" w:hAnsi="Verdana"/>
          <w:color w:val="333333"/>
          <w:sz w:val="27"/>
          <w:szCs w:val="27"/>
        </w:rPr>
        <w:t>侦查机</w:t>
      </w:r>
      <w:proofErr w:type="gramEnd"/>
      <w:r>
        <w:rPr>
          <w:rFonts w:ascii="Verdana" w:hAnsi="Verdana"/>
          <w:color w:val="333333"/>
          <w:sz w:val="27"/>
          <w:szCs w:val="27"/>
        </w:rPr>
        <w:t>关许可。自人民检察院对案件审查起诉之日起，值班律师可以查阅案卷材料、了解案情。人民法院、人民检察院应当为值班律师查阅案卷材料提供便利。</w:t>
      </w:r>
    </w:p>
    <w:p w:rsidR="00A56C48" w:rsidRDefault="00A56C48" w:rsidP="00A56C48">
      <w:pPr>
        <w:pStyle w:val="a4"/>
      </w:pPr>
      <w:r>
        <w:rPr>
          <w:rFonts w:ascii="Verdana" w:hAnsi="Verdana"/>
          <w:color w:val="333333"/>
          <w:sz w:val="27"/>
          <w:szCs w:val="27"/>
        </w:rPr>
        <w:t xml:space="preserve">　　值班律师提供法律咨询、查阅案卷材料、会见犯罪嫌疑人或者被告人、提出书面意见等法律帮助活动的相关情况应当记录在案，并随案移送。</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13.</w:t>
      </w:r>
      <w:r>
        <w:rPr>
          <w:rFonts w:ascii="Verdana" w:hAnsi="Verdana"/>
          <w:color w:val="333333"/>
          <w:sz w:val="27"/>
          <w:szCs w:val="27"/>
        </w:rPr>
        <w:t>法律帮助的衔接。对于被羁押的犯罪嫌疑人、被告人，在不同诉讼阶段，可以由派驻看守所的同一值班律师提供法律帮助。对于未被羁押的犯罪嫌疑人、被告人，前一诉讼阶段的值班律师可以在后续诉讼阶段继续为犯罪嫌疑人、被告人提供法律帮助。</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14.</w:t>
      </w:r>
      <w:r>
        <w:rPr>
          <w:rFonts w:ascii="Verdana" w:hAnsi="Verdana"/>
          <w:color w:val="333333"/>
          <w:sz w:val="27"/>
          <w:szCs w:val="27"/>
        </w:rPr>
        <w:t>拒绝法律帮助的处理。犯罪嫌疑人、被告人自愿认罪认罚，没有委托辩护人，拒绝值班律师帮助的，人民法院、人民检察院、公安机关应当允许，记录在案并随案移送。但是审查起诉阶段签署认罪认罚具结书时，人民检察院应当通知值班律师到场。</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15.</w:t>
      </w:r>
      <w:r>
        <w:rPr>
          <w:rFonts w:ascii="Verdana" w:hAnsi="Verdana"/>
          <w:color w:val="333333"/>
          <w:sz w:val="27"/>
          <w:szCs w:val="27"/>
        </w:rPr>
        <w:t>辩护人职责。认罪认罚案件犯罪嫌疑人、被告人委托辩护人或者法律援助机构指派律师为其辩护的，辩护律师在侦查、审查起诉和审判阶段，应当与犯罪嫌疑人、被告人就是否认罪认罚进行沟通，提供法律咨询和帮助，并就定罪量刑、诉讼程序适用等向办案机关提出意见。</w:t>
      </w:r>
    </w:p>
    <w:p w:rsidR="00A56C48" w:rsidRDefault="00A56C48" w:rsidP="00A56C48">
      <w:pPr>
        <w:pStyle w:val="a4"/>
      </w:pPr>
      <w:r>
        <w:rPr>
          <w:rStyle w:val="a3"/>
          <w:rFonts w:ascii="Verdana" w:hAnsi="Verdana"/>
          <w:color w:val="333333"/>
          <w:sz w:val="27"/>
          <w:szCs w:val="27"/>
        </w:rPr>
        <w:t xml:space="preserve">　　五、被害方权益保障</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16.</w:t>
      </w:r>
      <w:r>
        <w:rPr>
          <w:rFonts w:ascii="Verdana" w:hAnsi="Verdana"/>
          <w:color w:val="333333"/>
          <w:sz w:val="27"/>
          <w:szCs w:val="27"/>
        </w:rPr>
        <w:t>听取意见。办理认罪认罚案件，应当听取被害人及其诉讼代理人的意见，并将犯罪嫌疑人、被告人是否与被害方达成和解协议、调解协议或者赔偿被害方损失，取得被害方谅解，作为从宽处罚的重要考虑因素。人民检察院、公安机关听取意见情况应当记录在案并随案移送。</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17.</w:t>
      </w:r>
      <w:r>
        <w:rPr>
          <w:rFonts w:ascii="Verdana" w:hAnsi="Verdana"/>
          <w:color w:val="333333"/>
          <w:sz w:val="27"/>
          <w:szCs w:val="27"/>
        </w:rPr>
        <w:t>促进和解谅解。对符合当事人和解程序适用条件的公诉案件，犯罪嫌疑人、被告人认罪认罚的，人民法院、人民检察院、公安机关应当积极促进当事人自愿达成和解。对其他认罪认罚案件，人民法院、人民检察院、公安机关可以促进犯罪嫌疑人、被告人通过向被害方赔偿损失、赔礼道歉等方式获得谅解，被害方出具的谅解意见应当随案移送。</w:t>
      </w:r>
    </w:p>
    <w:p w:rsidR="00A56C48" w:rsidRDefault="00A56C48" w:rsidP="00A56C48">
      <w:pPr>
        <w:pStyle w:val="a4"/>
      </w:pPr>
      <w:r>
        <w:rPr>
          <w:rFonts w:ascii="Verdana" w:hAnsi="Verdana"/>
          <w:color w:val="333333"/>
          <w:sz w:val="27"/>
          <w:szCs w:val="27"/>
        </w:rPr>
        <w:t xml:space="preserve">　　人民法院、人民检察院、公安机关在促进当事人和解谅解过程中，应当向</w:t>
      </w:r>
      <w:proofErr w:type="gramStart"/>
      <w:r>
        <w:rPr>
          <w:rFonts w:ascii="Verdana" w:hAnsi="Verdana"/>
          <w:color w:val="333333"/>
          <w:sz w:val="27"/>
          <w:szCs w:val="27"/>
        </w:rPr>
        <w:t>被害方释明</w:t>
      </w:r>
      <w:proofErr w:type="gramEnd"/>
      <w:r>
        <w:rPr>
          <w:rFonts w:ascii="Verdana" w:hAnsi="Verdana"/>
          <w:color w:val="333333"/>
          <w:sz w:val="27"/>
          <w:szCs w:val="27"/>
        </w:rPr>
        <w:t>认罪认罚从宽、公诉案件当事人和解适用程序等具体</w:t>
      </w:r>
      <w:r>
        <w:rPr>
          <w:rFonts w:ascii="Verdana" w:hAnsi="Verdana"/>
          <w:color w:val="333333"/>
          <w:sz w:val="27"/>
          <w:szCs w:val="27"/>
        </w:rPr>
        <w:lastRenderedPageBreak/>
        <w:t>法律规定，充分听取被害方意见，符合司法救助条件的，应当积极协调办理。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18.</w:t>
      </w:r>
      <w:r>
        <w:rPr>
          <w:rFonts w:ascii="Verdana" w:hAnsi="Verdana"/>
          <w:color w:val="333333"/>
          <w:sz w:val="27"/>
          <w:szCs w:val="27"/>
        </w:rPr>
        <w:t>被害方异议的处理。被害人及其诉讼代理人不同意对认罪认罚的犯罪嫌疑人、被告人从宽处理的，不影响认罪认罚从宽制度的适用。犯罪嫌疑人、被告人认罪认罚，但没有退赃退赔、赔偿损失，未能与被害方达成调解或者和解协议的，</w:t>
      </w:r>
      <w:proofErr w:type="gramStart"/>
      <w:r>
        <w:rPr>
          <w:rFonts w:ascii="Verdana" w:hAnsi="Verdana"/>
          <w:color w:val="333333"/>
          <w:sz w:val="27"/>
          <w:szCs w:val="27"/>
        </w:rPr>
        <w:t>从宽时</w:t>
      </w:r>
      <w:proofErr w:type="gramEnd"/>
      <w:r>
        <w:rPr>
          <w:rFonts w:ascii="Verdana" w:hAnsi="Verdana"/>
          <w:color w:val="333333"/>
          <w:sz w:val="27"/>
          <w:szCs w:val="27"/>
        </w:rPr>
        <w:t>应当予以酌减。犯罪嫌疑人、被告人自愿认罪并且愿意积极赔偿损失，但由于被害方赔偿请求明显不合理，未能达成调解或者和解协议的，一般不影响对犯罪嫌疑人、被告人从宽处理。</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 xml:space="preserve">　六、强制措施的适用</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19.</w:t>
      </w:r>
      <w:r>
        <w:rPr>
          <w:rFonts w:ascii="Verdana" w:hAnsi="Verdana"/>
          <w:color w:val="333333"/>
          <w:sz w:val="27"/>
          <w:szCs w:val="27"/>
        </w:rPr>
        <w:t>社会危险性评估。人民法院、人民检察院、公安机关应当将犯罪嫌疑人、被告人认罪认罚作为其是否具有社会危险性的重要考虑因素。对于罪行较轻、采用非羁押性强制措施足以防止发生刑事诉讼法第八十一条第一款规定的社会危险性的犯罪嫌疑人、被告人，根据犯罪性质及可能判处的刑罚，依法可不适用羁押性强制措施。</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20.</w:t>
      </w:r>
      <w:r>
        <w:rPr>
          <w:rFonts w:ascii="Verdana" w:hAnsi="Verdana"/>
          <w:color w:val="333333"/>
          <w:sz w:val="27"/>
          <w:szCs w:val="27"/>
        </w:rPr>
        <w:t>逮捕的适用。犯罪嫌疑人认罪认罚，公安机关认为罪行较轻、没有社会危险性的，应当不再提请人民检察院审查逮捕。对提请逮捕的，人民检察院认为没有社会危险性不需要逮捕的，应当</w:t>
      </w:r>
      <w:proofErr w:type="gramStart"/>
      <w:r>
        <w:rPr>
          <w:rFonts w:ascii="Verdana" w:hAnsi="Verdana"/>
          <w:color w:val="333333"/>
          <w:sz w:val="27"/>
          <w:szCs w:val="27"/>
        </w:rPr>
        <w:t>作出</w:t>
      </w:r>
      <w:proofErr w:type="gramEnd"/>
      <w:r>
        <w:rPr>
          <w:rFonts w:ascii="Verdana" w:hAnsi="Verdana"/>
          <w:color w:val="333333"/>
          <w:sz w:val="27"/>
          <w:szCs w:val="27"/>
        </w:rPr>
        <w:t>不批准逮捕的决定。</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21.</w:t>
      </w:r>
      <w:r>
        <w:rPr>
          <w:rFonts w:ascii="Verdana" w:hAnsi="Verdana"/>
          <w:color w:val="333333"/>
          <w:sz w:val="27"/>
          <w:szCs w:val="27"/>
        </w:rPr>
        <w:t>逮捕的变更。已经逮捕的犯罪嫌疑人、被告人认罪认罚的，人民法院、人民检察院应当及时审查羁押的必要性，经审查认为没有继续羁押必要的，应当变更为取保候审或者监视居住。</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七、</w:t>
      </w:r>
      <w:proofErr w:type="gramStart"/>
      <w:r>
        <w:rPr>
          <w:rStyle w:val="a3"/>
          <w:rFonts w:ascii="Verdana" w:hAnsi="Verdana"/>
          <w:color w:val="333333"/>
          <w:sz w:val="27"/>
          <w:szCs w:val="27"/>
        </w:rPr>
        <w:t>侦查机</w:t>
      </w:r>
      <w:proofErr w:type="gramEnd"/>
      <w:r>
        <w:rPr>
          <w:rStyle w:val="a3"/>
          <w:rFonts w:ascii="Verdana" w:hAnsi="Verdana"/>
          <w:color w:val="333333"/>
          <w:sz w:val="27"/>
          <w:szCs w:val="27"/>
        </w:rPr>
        <w:t>关的职责</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22.</w:t>
      </w:r>
      <w:r>
        <w:rPr>
          <w:rFonts w:ascii="Verdana" w:hAnsi="Verdana"/>
          <w:color w:val="333333"/>
          <w:sz w:val="27"/>
          <w:szCs w:val="27"/>
        </w:rPr>
        <w:t>权利告知和听取意见。公安机关在侦查过程中，应当告知犯罪嫌疑人享有的诉讼权利、如实供述罪行可以从宽处理和认罪认罚的法律规定，听取犯罪嫌疑人及其辩护人或者值班律师的意见，记录在案并随案移送。</w:t>
      </w:r>
    </w:p>
    <w:p w:rsidR="00A56C48" w:rsidRDefault="00A56C48" w:rsidP="00A56C48">
      <w:pPr>
        <w:pStyle w:val="a4"/>
      </w:pPr>
      <w:r>
        <w:rPr>
          <w:rFonts w:ascii="Verdana" w:hAnsi="Verdana"/>
          <w:color w:val="333333"/>
          <w:sz w:val="27"/>
          <w:szCs w:val="27"/>
        </w:rPr>
        <w:t xml:space="preserve">　　对在非讯问时间、办案人员不在场情况下，犯罪嫌疑人向看守所工作人员或者辩护人、值班律师表示愿意认罪认罚的，有关人员应当及时告知办案单位。</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23.</w:t>
      </w:r>
      <w:r>
        <w:rPr>
          <w:rFonts w:ascii="Verdana" w:hAnsi="Verdana"/>
          <w:color w:val="333333"/>
          <w:sz w:val="27"/>
          <w:szCs w:val="27"/>
        </w:rPr>
        <w:t>认罪教育。公安机关在侦查阶段应当同步开展认罪教育工作，但不得强迫犯罪嫌疑人认罪，不得</w:t>
      </w:r>
      <w:proofErr w:type="gramStart"/>
      <w:r>
        <w:rPr>
          <w:rFonts w:ascii="Verdana" w:hAnsi="Verdana"/>
          <w:color w:val="333333"/>
          <w:sz w:val="27"/>
          <w:szCs w:val="27"/>
        </w:rPr>
        <w:t>作出</w:t>
      </w:r>
      <w:proofErr w:type="gramEnd"/>
      <w:r>
        <w:rPr>
          <w:rFonts w:ascii="Verdana" w:hAnsi="Verdana"/>
          <w:color w:val="333333"/>
          <w:sz w:val="27"/>
          <w:szCs w:val="27"/>
        </w:rPr>
        <w:t>具体的从宽承诺。犯罪嫌疑人自愿认罪，愿意接受司法机关处罚的，应当记录在案并附卷。</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24.</w:t>
      </w:r>
      <w:r>
        <w:rPr>
          <w:rFonts w:ascii="Verdana" w:hAnsi="Verdana"/>
          <w:color w:val="333333"/>
          <w:sz w:val="27"/>
          <w:szCs w:val="27"/>
        </w:rPr>
        <w:t>起诉意见。对移送审查起诉的案件，公安机关应当在起诉意见书中写明犯罪嫌疑人自愿认罪认罚情况。认为案件</w:t>
      </w:r>
      <w:proofErr w:type="gramStart"/>
      <w:r>
        <w:rPr>
          <w:rFonts w:ascii="Verdana" w:hAnsi="Verdana"/>
          <w:color w:val="333333"/>
          <w:sz w:val="27"/>
          <w:szCs w:val="27"/>
        </w:rPr>
        <w:t>符合速裁程序</w:t>
      </w:r>
      <w:proofErr w:type="gramEnd"/>
      <w:r>
        <w:rPr>
          <w:rFonts w:ascii="Verdana" w:hAnsi="Verdana"/>
          <w:color w:val="333333"/>
          <w:sz w:val="27"/>
          <w:szCs w:val="27"/>
        </w:rPr>
        <w:t>适用条件的，可以在起诉意见书中建议人民检察院</w:t>
      </w:r>
      <w:proofErr w:type="gramStart"/>
      <w:r>
        <w:rPr>
          <w:rFonts w:ascii="Verdana" w:hAnsi="Verdana"/>
          <w:color w:val="333333"/>
          <w:sz w:val="27"/>
          <w:szCs w:val="27"/>
        </w:rPr>
        <w:t>适用速裁程序</w:t>
      </w:r>
      <w:proofErr w:type="gramEnd"/>
      <w:r>
        <w:rPr>
          <w:rFonts w:ascii="Verdana" w:hAnsi="Verdana"/>
          <w:color w:val="333333"/>
          <w:sz w:val="27"/>
          <w:szCs w:val="27"/>
        </w:rPr>
        <w:t>办理，并简要说明理由。</w:t>
      </w:r>
    </w:p>
    <w:p w:rsidR="00A56C48" w:rsidRDefault="00A56C48" w:rsidP="00A56C48">
      <w:pPr>
        <w:pStyle w:val="a4"/>
      </w:pPr>
      <w:r>
        <w:rPr>
          <w:rFonts w:ascii="Verdana" w:hAnsi="Verdana"/>
          <w:color w:val="333333"/>
          <w:sz w:val="27"/>
          <w:szCs w:val="27"/>
        </w:rPr>
        <w:lastRenderedPageBreak/>
        <w:t xml:space="preserve">　　对可能</w:t>
      </w:r>
      <w:proofErr w:type="gramStart"/>
      <w:r>
        <w:rPr>
          <w:rFonts w:ascii="Verdana" w:hAnsi="Verdana"/>
          <w:color w:val="333333"/>
          <w:sz w:val="27"/>
          <w:szCs w:val="27"/>
        </w:rPr>
        <w:t>适用速裁程序</w:t>
      </w:r>
      <w:proofErr w:type="gramEnd"/>
      <w:r>
        <w:rPr>
          <w:rFonts w:ascii="Verdana" w:hAnsi="Verdana"/>
          <w:color w:val="333333"/>
          <w:sz w:val="27"/>
          <w:szCs w:val="27"/>
        </w:rPr>
        <w:t>的案件，公安机关应当快速办理，对犯罪嫌疑人未被羁押的，可以集中移送审查起诉，但不得为集中移送拖延案件办理。</w:t>
      </w:r>
    </w:p>
    <w:p w:rsidR="00A56C48" w:rsidRDefault="00A56C48" w:rsidP="00A56C48">
      <w:pPr>
        <w:pStyle w:val="a4"/>
      </w:pPr>
      <w:r>
        <w:rPr>
          <w:rFonts w:ascii="Verdana" w:hAnsi="Verdana"/>
          <w:color w:val="333333"/>
          <w:sz w:val="27"/>
          <w:szCs w:val="27"/>
        </w:rPr>
        <w:t xml:space="preserve">　　对人民检察院在审查逮捕期间或者重大案件听取意见中提出的开展认罪认罚工作的意见或建议，公安机关应当认真听取，积极开展相关工作。</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25.</w:t>
      </w:r>
      <w:r>
        <w:rPr>
          <w:rFonts w:ascii="Verdana" w:hAnsi="Verdana"/>
          <w:color w:val="333333"/>
          <w:sz w:val="27"/>
          <w:szCs w:val="27"/>
        </w:rPr>
        <w:t>执法办案管理中心建设。加快推进公安机关执法办案管理中心建设，探索在执法办案管理中心</w:t>
      </w:r>
      <w:proofErr w:type="gramStart"/>
      <w:r>
        <w:rPr>
          <w:rFonts w:ascii="Verdana" w:hAnsi="Verdana"/>
          <w:color w:val="333333"/>
          <w:sz w:val="27"/>
          <w:szCs w:val="27"/>
        </w:rPr>
        <w:t>设置速裁法庭</w:t>
      </w:r>
      <w:proofErr w:type="gramEnd"/>
      <w:r>
        <w:rPr>
          <w:rFonts w:ascii="Verdana" w:hAnsi="Verdana"/>
          <w:color w:val="333333"/>
          <w:sz w:val="27"/>
          <w:szCs w:val="27"/>
        </w:rPr>
        <w:t>，对</w:t>
      </w:r>
      <w:proofErr w:type="gramStart"/>
      <w:r>
        <w:rPr>
          <w:rFonts w:ascii="Verdana" w:hAnsi="Verdana"/>
          <w:color w:val="333333"/>
          <w:sz w:val="27"/>
          <w:szCs w:val="27"/>
        </w:rPr>
        <w:t>适用速裁程序</w:t>
      </w:r>
      <w:proofErr w:type="gramEnd"/>
      <w:r>
        <w:rPr>
          <w:rFonts w:ascii="Verdana" w:hAnsi="Verdana"/>
          <w:color w:val="333333"/>
          <w:sz w:val="27"/>
          <w:szCs w:val="27"/>
        </w:rPr>
        <w:t>的案件进行快速办理。</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八、审查起诉阶段人民检察院的职责</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26.</w:t>
      </w:r>
      <w:r>
        <w:rPr>
          <w:rFonts w:ascii="Verdana" w:hAnsi="Verdana"/>
          <w:color w:val="333333"/>
          <w:sz w:val="27"/>
          <w:szCs w:val="27"/>
        </w:rPr>
        <w:t>权利告知。案件移送审查起诉后，人民检察院应当告知犯罪嫌疑人享有的诉讼权利和认罪认罚的法律规定，保障犯罪嫌疑人的程序选择权。告知应当采取书面形式，必要时应当充分释明。</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27.</w:t>
      </w:r>
      <w:r>
        <w:rPr>
          <w:rFonts w:ascii="Verdana" w:hAnsi="Verdana"/>
          <w:color w:val="333333"/>
          <w:sz w:val="27"/>
          <w:szCs w:val="27"/>
        </w:rPr>
        <w:t>听取意见。犯罪嫌疑人认罪认罚的，人民检察院应当就下列事项听取犯罪嫌疑人、辩护人或者值班律师的意见，记录在案并附卷：</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涉嫌的犯罪事实、罪名及适用的法律规定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从轻、减轻或者免除处罚等从宽处罚的建议</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认罪认罚后案件审理适用的程序</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r>
        <w:rPr>
          <w:rFonts w:ascii="Verdana" w:hAnsi="Verdana"/>
          <w:color w:val="333333"/>
          <w:sz w:val="27"/>
          <w:szCs w:val="27"/>
        </w:rPr>
        <w:t>其他需要听取意见的情形。</w:t>
      </w:r>
    </w:p>
    <w:p w:rsidR="00A56C48" w:rsidRDefault="00A56C48" w:rsidP="00A56C48">
      <w:pPr>
        <w:pStyle w:val="a4"/>
      </w:pPr>
      <w:r>
        <w:rPr>
          <w:rFonts w:ascii="Verdana" w:hAnsi="Verdana"/>
          <w:color w:val="333333"/>
          <w:sz w:val="27"/>
          <w:szCs w:val="27"/>
        </w:rPr>
        <w:t xml:space="preserve">　　人民检察院未采纳辩护人、值班律师意见的，应当说明理由。</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28.</w:t>
      </w:r>
      <w:r>
        <w:rPr>
          <w:rFonts w:ascii="Verdana" w:hAnsi="Verdana"/>
          <w:color w:val="333333"/>
          <w:sz w:val="27"/>
          <w:szCs w:val="27"/>
        </w:rPr>
        <w:t>自愿性、合法性审查。对侦查阶段认罪认罚的案件，人民检察院应当重点审查以下内容：</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犯罪嫌疑人是否自愿认罪认罚，有无因受到暴力、威胁、引诱而违背意愿认罪认罚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犯罪嫌疑人认罪认罚时的认知能力和精神状态是否正常</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犯罪嫌疑人是否理解认罪认罚的性质和可能导致的法律后果</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proofErr w:type="gramStart"/>
      <w:r>
        <w:rPr>
          <w:rFonts w:ascii="Verdana" w:hAnsi="Verdana"/>
          <w:color w:val="333333"/>
          <w:sz w:val="27"/>
          <w:szCs w:val="27"/>
        </w:rPr>
        <w:t>侦查机</w:t>
      </w:r>
      <w:proofErr w:type="gramEnd"/>
      <w:r>
        <w:rPr>
          <w:rFonts w:ascii="Verdana" w:hAnsi="Verdana"/>
          <w:color w:val="333333"/>
          <w:sz w:val="27"/>
          <w:szCs w:val="27"/>
        </w:rPr>
        <w:t>关是否告知犯罪嫌疑人享有的诉讼权利，如实供述自己罪行可以从宽处理和认罪认罚的法律规定，并听取意见</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五</w:t>
      </w:r>
      <w:r>
        <w:rPr>
          <w:rFonts w:ascii="Verdana" w:hAnsi="Verdana"/>
          <w:color w:val="333333"/>
          <w:sz w:val="27"/>
          <w:szCs w:val="27"/>
        </w:rPr>
        <w:t>)</w:t>
      </w:r>
      <w:r>
        <w:rPr>
          <w:rFonts w:ascii="Verdana" w:hAnsi="Verdana"/>
          <w:color w:val="333333"/>
          <w:sz w:val="27"/>
          <w:szCs w:val="27"/>
        </w:rPr>
        <w:t>起诉意见书中是否写明犯罪嫌疑人认罪认罚情况</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六</w:t>
      </w:r>
      <w:r>
        <w:rPr>
          <w:rFonts w:ascii="Verdana" w:hAnsi="Verdana"/>
          <w:color w:val="333333"/>
          <w:sz w:val="27"/>
          <w:szCs w:val="27"/>
        </w:rPr>
        <w:t>)</w:t>
      </w:r>
      <w:r>
        <w:rPr>
          <w:rFonts w:ascii="Verdana" w:hAnsi="Verdana"/>
          <w:color w:val="333333"/>
          <w:sz w:val="27"/>
          <w:szCs w:val="27"/>
        </w:rPr>
        <w:t>犯罪嫌疑人是否真诚悔罪，是否向被害人赔礼道歉。</w:t>
      </w:r>
    </w:p>
    <w:p w:rsidR="00A56C48" w:rsidRDefault="00A56C48" w:rsidP="00A56C48">
      <w:pPr>
        <w:pStyle w:val="a4"/>
      </w:pPr>
      <w:r>
        <w:rPr>
          <w:rFonts w:ascii="Verdana" w:hAnsi="Verdana"/>
          <w:color w:val="333333"/>
          <w:sz w:val="27"/>
          <w:szCs w:val="27"/>
        </w:rPr>
        <w:t xml:space="preserve">　　经审查，犯罪嫌疑人违背意愿认罪认罚的，人民检察院可以重新开展认罪认罚工作。存在刑讯逼供等非法取证行为的，依照法律规定处理。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29.</w:t>
      </w:r>
      <w:r>
        <w:rPr>
          <w:rFonts w:ascii="Verdana" w:hAnsi="Verdana"/>
          <w:color w:val="333333"/>
          <w:sz w:val="27"/>
          <w:szCs w:val="27"/>
        </w:rPr>
        <w:t>证据开示。人民检察院可以针对案件具体情况，探索证据开示制度，保障犯罪嫌疑人的知情权和认罪认罚的真实性及自愿性。</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30.</w:t>
      </w:r>
      <w:r>
        <w:rPr>
          <w:rFonts w:ascii="Verdana" w:hAnsi="Verdana"/>
          <w:color w:val="333333"/>
          <w:sz w:val="27"/>
          <w:szCs w:val="27"/>
        </w:rPr>
        <w:t>不起诉的适用。完善起诉裁量权，充分发挥不起诉的审前分流和过滤作用，逐步扩大相对不起诉在认罪认罚案件中的适用。对认罪认罚后没有争议，不需要判处刑罚的轻微刑事案件，人民检察院可以依法</w:t>
      </w:r>
      <w:proofErr w:type="gramStart"/>
      <w:r>
        <w:rPr>
          <w:rFonts w:ascii="Verdana" w:hAnsi="Verdana"/>
          <w:color w:val="333333"/>
          <w:sz w:val="27"/>
          <w:szCs w:val="27"/>
        </w:rPr>
        <w:t>作出</w:t>
      </w:r>
      <w:proofErr w:type="gramEnd"/>
      <w:r>
        <w:rPr>
          <w:rFonts w:ascii="Verdana" w:hAnsi="Verdana"/>
          <w:color w:val="333333"/>
          <w:sz w:val="27"/>
          <w:szCs w:val="27"/>
        </w:rPr>
        <w:t>不起诉决定。人民检察院应当加强对案件量刑的预判，对其中可能判处免刑的轻微刑事案件，可以依法</w:t>
      </w:r>
      <w:proofErr w:type="gramStart"/>
      <w:r>
        <w:rPr>
          <w:rFonts w:ascii="Verdana" w:hAnsi="Verdana"/>
          <w:color w:val="333333"/>
          <w:sz w:val="27"/>
          <w:szCs w:val="27"/>
        </w:rPr>
        <w:t>作出</w:t>
      </w:r>
      <w:proofErr w:type="gramEnd"/>
      <w:r>
        <w:rPr>
          <w:rFonts w:ascii="Verdana" w:hAnsi="Verdana"/>
          <w:color w:val="333333"/>
          <w:sz w:val="27"/>
          <w:szCs w:val="27"/>
        </w:rPr>
        <w:t>不起诉决定。</w:t>
      </w:r>
    </w:p>
    <w:p w:rsidR="00A56C48" w:rsidRDefault="00A56C48" w:rsidP="00A56C48">
      <w:pPr>
        <w:pStyle w:val="a4"/>
      </w:pPr>
      <w:r>
        <w:rPr>
          <w:rFonts w:ascii="Verdana" w:hAnsi="Verdana"/>
          <w:color w:val="333333"/>
          <w:sz w:val="27"/>
          <w:szCs w:val="27"/>
        </w:rPr>
        <w:t xml:space="preserve">　　对认罪认罚后案件事实不清、证据不足的案件，应当依法</w:t>
      </w:r>
      <w:proofErr w:type="gramStart"/>
      <w:r>
        <w:rPr>
          <w:rFonts w:ascii="Verdana" w:hAnsi="Verdana"/>
          <w:color w:val="333333"/>
          <w:sz w:val="27"/>
          <w:szCs w:val="27"/>
        </w:rPr>
        <w:t>作出</w:t>
      </w:r>
      <w:proofErr w:type="gramEnd"/>
      <w:r>
        <w:rPr>
          <w:rFonts w:ascii="Verdana" w:hAnsi="Verdana"/>
          <w:color w:val="333333"/>
          <w:sz w:val="27"/>
          <w:szCs w:val="27"/>
        </w:rPr>
        <w:t>不起诉决定。</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31.</w:t>
      </w:r>
      <w:r>
        <w:rPr>
          <w:rFonts w:ascii="Verdana" w:hAnsi="Verdana"/>
          <w:color w:val="333333"/>
          <w:sz w:val="27"/>
          <w:szCs w:val="27"/>
        </w:rPr>
        <w:t>签署具结书。犯罪嫌疑人自愿认罪，同意量刑建议和程序适用的，应当在辩护人或者值班律师在场的情况下签署认罪认罚具结书。犯罪嫌疑人被羁押的，看守所应当为签署具结书提供场所。具结书应当包括犯罪嫌疑人如实供述罪行、同意量刑建议、程序适用等内容，由犯罪嫌疑人、辩护人或者值班律师签名。</w:t>
      </w:r>
    </w:p>
    <w:p w:rsidR="00A56C48" w:rsidRDefault="00A56C48" w:rsidP="00A56C48">
      <w:pPr>
        <w:pStyle w:val="a4"/>
      </w:pPr>
      <w:r>
        <w:rPr>
          <w:rFonts w:ascii="Verdana" w:hAnsi="Verdana"/>
          <w:color w:val="333333"/>
          <w:sz w:val="27"/>
          <w:szCs w:val="27"/>
        </w:rPr>
        <w:t xml:space="preserve">　　犯罪嫌疑人认罪认罚，有下列情形之一的，不需要签署认罪认罚具结书：</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犯罪嫌疑人是盲、聋、哑人，或者是尚未完全丧失辨认或者控制自己行为能力的精神病人的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未成年犯罪嫌疑人的法定代理人、辩护人对未成年人认罪认罚有异议的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其他不需要签署认罪认罚具结书的情形。</w:t>
      </w:r>
    </w:p>
    <w:p w:rsidR="00A56C48" w:rsidRDefault="00A56C48" w:rsidP="00A56C48">
      <w:pPr>
        <w:pStyle w:val="a4"/>
      </w:pPr>
      <w:r>
        <w:rPr>
          <w:rFonts w:ascii="Verdana" w:hAnsi="Verdana"/>
          <w:color w:val="333333"/>
          <w:sz w:val="27"/>
          <w:szCs w:val="27"/>
        </w:rPr>
        <w:lastRenderedPageBreak/>
        <w:t xml:space="preserve">　　上述情形犯罪嫌疑人未签署认罪认罚具结书的，不影响认罪认罚从宽制度的适用。</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32.</w:t>
      </w:r>
      <w:r>
        <w:rPr>
          <w:rFonts w:ascii="Verdana" w:hAnsi="Verdana"/>
          <w:color w:val="333333"/>
          <w:sz w:val="27"/>
          <w:szCs w:val="27"/>
        </w:rPr>
        <w:t>提起公诉。人民检察院向人民法院提起公诉的，应当在起诉书中写明被告人认罪认罚情况，提出量刑建议，并移送认罪认罚具结书等材料。量刑建议书可以另行制作，也可以在起诉书中写明。</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33.</w:t>
      </w:r>
      <w:r>
        <w:rPr>
          <w:rFonts w:ascii="Verdana" w:hAnsi="Verdana"/>
          <w:color w:val="333333"/>
          <w:sz w:val="27"/>
          <w:szCs w:val="27"/>
        </w:rPr>
        <w:t>量刑建议的提出。犯罪嫌疑人认罪认罚的，人民检察院应当就主刑、附加刑、是否适用缓刑等提出量刑建议。人民检察院提出量刑建议前，应当充分听取犯罪嫌疑人、辩护人或者值班律师的意见，尽量协商一致。</w:t>
      </w:r>
    </w:p>
    <w:p w:rsidR="00A56C48" w:rsidRDefault="00A56C48" w:rsidP="00A56C48">
      <w:pPr>
        <w:pStyle w:val="a4"/>
      </w:pPr>
      <w:r>
        <w:rPr>
          <w:rFonts w:ascii="Verdana" w:hAnsi="Verdana"/>
          <w:color w:val="333333"/>
          <w:sz w:val="27"/>
          <w:szCs w:val="27"/>
        </w:rPr>
        <w:t xml:space="preserve">　　办理认罪认罚案件，人民检察院一般应当提出确定刑量刑建议。对新类型、不常见犯罪案件，量刑情节复杂的重罪案件等，也可以提出幅度</w:t>
      </w:r>
      <w:proofErr w:type="gramStart"/>
      <w:r>
        <w:rPr>
          <w:rFonts w:ascii="Verdana" w:hAnsi="Verdana"/>
          <w:color w:val="333333"/>
          <w:sz w:val="27"/>
          <w:szCs w:val="27"/>
        </w:rPr>
        <w:t>刑</w:t>
      </w:r>
      <w:proofErr w:type="gramEnd"/>
      <w:r>
        <w:rPr>
          <w:rFonts w:ascii="Verdana" w:hAnsi="Verdana"/>
          <w:color w:val="333333"/>
          <w:sz w:val="27"/>
          <w:szCs w:val="27"/>
        </w:rPr>
        <w:t>量刑建议。提出量刑建议，应当说明理由和依据。</w:t>
      </w:r>
    </w:p>
    <w:p w:rsidR="00A56C48" w:rsidRDefault="00A56C48" w:rsidP="00A56C48">
      <w:pPr>
        <w:pStyle w:val="a4"/>
      </w:pPr>
      <w:r>
        <w:rPr>
          <w:rFonts w:ascii="Verdana" w:hAnsi="Verdana"/>
          <w:color w:val="333333"/>
          <w:sz w:val="27"/>
          <w:szCs w:val="27"/>
        </w:rPr>
        <w:t xml:space="preserve">　　犯罪嫌疑人认罪认罚没有其他法定量刑情节的，人民检察院可以根据犯罪的事实、性质等，在基准</w:t>
      </w:r>
      <w:proofErr w:type="gramStart"/>
      <w:r>
        <w:rPr>
          <w:rFonts w:ascii="Verdana" w:hAnsi="Verdana"/>
          <w:color w:val="333333"/>
          <w:sz w:val="27"/>
          <w:szCs w:val="27"/>
        </w:rPr>
        <w:t>刑</w:t>
      </w:r>
      <w:proofErr w:type="gramEnd"/>
      <w:r>
        <w:rPr>
          <w:rFonts w:ascii="Verdana" w:hAnsi="Verdana"/>
          <w:color w:val="333333"/>
          <w:sz w:val="27"/>
          <w:szCs w:val="27"/>
        </w:rPr>
        <w:t>基础上适当减让提出确定刑量刑建议。有其他法定量刑情节的，人民检察院应当综合认罪认罚和其他法定量刑情节，参照相关量刑规范提出确定刑量刑建议。</w:t>
      </w:r>
    </w:p>
    <w:p w:rsidR="00A56C48" w:rsidRDefault="00A56C48" w:rsidP="00A56C48">
      <w:pPr>
        <w:pStyle w:val="a4"/>
      </w:pPr>
      <w:r>
        <w:rPr>
          <w:rFonts w:ascii="Verdana" w:hAnsi="Verdana"/>
          <w:color w:val="333333"/>
          <w:sz w:val="27"/>
          <w:szCs w:val="27"/>
        </w:rPr>
        <w:t xml:space="preserve">　　犯罪嫌疑人在侦查阶段认罪认罚的，主刑从宽的幅度可以在前款基础上适当放宽</w:t>
      </w:r>
      <w:r>
        <w:rPr>
          <w:rFonts w:ascii="Verdana" w:hAnsi="Verdana"/>
          <w:color w:val="333333"/>
          <w:sz w:val="27"/>
          <w:szCs w:val="27"/>
        </w:rPr>
        <w:t>;</w:t>
      </w:r>
      <w:r>
        <w:rPr>
          <w:rFonts w:ascii="Verdana" w:hAnsi="Verdana"/>
          <w:color w:val="333333"/>
          <w:sz w:val="27"/>
          <w:szCs w:val="27"/>
        </w:rPr>
        <w:t>被告人在审判阶段认罪认罚的，在前款基础上可以适当缩减。建议判处罚金刑的，参照主刑的从宽幅度提出确定的数额。</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34.</w:t>
      </w:r>
      <w:proofErr w:type="gramStart"/>
      <w:r>
        <w:rPr>
          <w:rFonts w:ascii="Verdana" w:hAnsi="Verdana"/>
          <w:color w:val="333333"/>
          <w:sz w:val="27"/>
          <w:szCs w:val="27"/>
        </w:rPr>
        <w:t>速裁程序</w:t>
      </w:r>
      <w:proofErr w:type="gramEnd"/>
      <w:r>
        <w:rPr>
          <w:rFonts w:ascii="Verdana" w:hAnsi="Verdana"/>
          <w:color w:val="333333"/>
          <w:sz w:val="27"/>
          <w:szCs w:val="27"/>
        </w:rPr>
        <w:t>的办案期限。犯罪嫌疑人认罪认罚，人民检察院经审查，认为</w:t>
      </w:r>
      <w:proofErr w:type="gramStart"/>
      <w:r>
        <w:rPr>
          <w:rFonts w:ascii="Verdana" w:hAnsi="Verdana"/>
          <w:color w:val="333333"/>
          <w:sz w:val="27"/>
          <w:szCs w:val="27"/>
        </w:rPr>
        <w:t>符合速裁程序</w:t>
      </w:r>
      <w:proofErr w:type="gramEnd"/>
      <w:r>
        <w:rPr>
          <w:rFonts w:ascii="Verdana" w:hAnsi="Verdana"/>
          <w:color w:val="333333"/>
          <w:sz w:val="27"/>
          <w:szCs w:val="27"/>
        </w:rPr>
        <w:t>适用条件的，应当在十日以内</w:t>
      </w:r>
      <w:proofErr w:type="gramStart"/>
      <w:r>
        <w:rPr>
          <w:rFonts w:ascii="Verdana" w:hAnsi="Verdana"/>
          <w:color w:val="333333"/>
          <w:sz w:val="27"/>
          <w:szCs w:val="27"/>
        </w:rPr>
        <w:t>作出</w:t>
      </w:r>
      <w:proofErr w:type="gramEnd"/>
      <w:r>
        <w:rPr>
          <w:rFonts w:ascii="Verdana" w:hAnsi="Verdana"/>
          <w:color w:val="333333"/>
          <w:sz w:val="27"/>
          <w:szCs w:val="27"/>
        </w:rPr>
        <w:t>是否提起公诉的决定</w:t>
      </w:r>
      <w:r>
        <w:rPr>
          <w:rFonts w:ascii="Verdana" w:hAnsi="Verdana"/>
          <w:color w:val="333333"/>
          <w:sz w:val="27"/>
          <w:szCs w:val="27"/>
        </w:rPr>
        <w:t>;</w:t>
      </w:r>
      <w:r>
        <w:rPr>
          <w:rFonts w:ascii="Verdana" w:hAnsi="Verdana"/>
          <w:color w:val="333333"/>
          <w:sz w:val="27"/>
          <w:szCs w:val="27"/>
        </w:rPr>
        <w:t>对可能判处的有期徒刑超过一年的，可以在十五日以内</w:t>
      </w:r>
      <w:proofErr w:type="gramStart"/>
      <w:r>
        <w:rPr>
          <w:rFonts w:ascii="Verdana" w:hAnsi="Verdana"/>
          <w:color w:val="333333"/>
          <w:sz w:val="27"/>
          <w:szCs w:val="27"/>
        </w:rPr>
        <w:t>作出</w:t>
      </w:r>
      <w:proofErr w:type="gramEnd"/>
      <w:r>
        <w:rPr>
          <w:rFonts w:ascii="Verdana" w:hAnsi="Verdana"/>
          <w:color w:val="333333"/>
          <w:sz w:val="27"/>
          <w:szCs w:val="27"/>
        </w:rPr>
        <w:t>是否提起公诉的决定。</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九、社会调查评估</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35.</w:t>
      </w:r>
      <w:r>
        <w:rPr>
          <w:rFonts w:ascii="Verdana" w:hAnsi="Verdana"/>
          <w:color w:val="333333"/>
          <w:sz w:val="27"/>
          <w:szCs w:val="27"/>
        </w:rPr>
        <w:t>侦查阶段的社会调查。犯罪嫌疑人认罪认罚，可能判处管制、宣告缓刑的，公安机关可以委托犯罪嫌疑人居住地的社区矫正机构进行调查评估。</w:t>
      </w:r>
    </w:p>
    <w:p w:rsidR="00A56C48" w:rsidRDefault="00A56C48" w:rsidP="00A56C48">
      <w:pPr>
        <w:pStyle w:val="a4"/>
      </w:pPr>
      <w:r>
        <w:rPr>
          <w:rFonts w:ascii="Verdana" w:hAnsi="Verdana"/>
          <w:color w:val="333333"/>
          <w:sz w:val="27"/>
          <w:szCs w:val="27"/>
        </w:rPr>
        <w:t xml:space="preserve">　　公安机关在侦查阶段委托社区矫正机构进行调查评估，社区矫正机构在公安机关移送审查起诉后完成调查评估的，应当及时将评估意见提交受理案件的人民检察院或者人民法院，并抄送公安机关。</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36.</w:t>
      </w:r>
      <w:r>
        <w:rPr>
          <w:rFonts w:ascii="Verdana" w:hAnsi="Verdana"/>
          <w:color w:val="333333"/>
          <w:sz w:val="27"/>
          <w:szCs w:val="27"/>
        </w:rPr>
        <w:t>审查起诉阶段的社会调查。犯罪嫌疑人认罪认罚，人民检察院拟提出缓刑或者管制量刑建议的，可以及时委托犯罪嫌疑人居住地的社区矫正机构进行调查评估，也可以自行调查评估。人民检察院提起公诉时，已收到调查材料的，应当将材料一并移送，未收到调查材料的，应当将委托文书随案移送</w:t>
      </w:r>
      <w:r>
        <w:rPr>
          <w:rFonts w:ascii="Verdana" w:hAnsi="Verdana"/>
          <w:color w:val="333333"/>
          <w:sz w:val="27"/>
          <w:szCs w:val="27"/>
        </w:rPr>
        <w:t>;</w:t>
      </w:r>
      <w:r>
        <w:rPr>
          <w:rFonts w:ascii="Verdana" w:hAnsi="Verdana"/>
          <w:color w:val="333333"/>
          <w:sz w:val="27"/>
          <w:szCs w:val="27"/>
        </w:rPr>
        <w:t>在提起公诉后收到调查材料的，应当及时移送人民法院。</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37.</w:t>
      </w:r>
      <w:r>
        <w:rPr>
          <w:rFonts w:ascii="Verdana" w:hAnsi="Verdana"/>
          <w:color w:val="333333"/>
          <w:sz w:val="27"/>
          <w:szCs w:val="27"/>
        </w:rPr>
        <w:t>审判阶段的社会调查。被告人认罪认罚，人民法院拟判处管制或者宣告缓刑的，可以及时委托被告人居住地的社区矫正机构进行调查评估，也可以自行调查评估。</w:t>
      </w:r>
    </w:p>
    <w:p w:rsidR="00A56C48" w:rsidRDefault="00A56C48" w:rsidP="00A56C48">
      <w:pPr>
        <w:pStyle w:val="a4"/>
      </w:pPr>
      <w:r>
        <w:rPr>
          <w:rFonts w:ascii="Verdana" w:hAnsi="Verdana"/>
          <w:color w:val="333333"/>
          <w:sz w:val="27"/>
          <w:szCs w:val="27"/>
        </w:rPr>
        <w:lastRenderedPageBreak/>
        <w:t xml:space="preserve">　　社区矫正机构出具的调查评估意见，是人民法院判处管制、宣告缓刑的重要参考。对没有委托社区矫正机构进行调查评估或者判决前未收到社区矫正机构调查评估报告的认罪认罚案件，人民法院经审理认为被告人符合管制、缓刑适用条件的，可以判处管制、宣告缓刑。</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38.</w:t>
      </w:r>
      <w:r>
        <w:rPr>
          <w:rFonts w:ascii="Verdana" w:hAnsi="Verdana"/>
          <w:color w:val="333333"/>
          <w:sz w:val="27"/>
          <w:szCs w:val="27"/>
        </w:rPr>
        <w:t>司法行政机关的职责。受委托的社区矫正机构应当根据委托机关的要求，对犯罪嫌疑人、被告人的居所情况、家庭和社会关系、一贯表现、犯罪行为的后果和影响、居住地村</w:t>
      </w:r>
      <w:r>
        <w:rPr>
          <w:rFonts w:ascii="Verdana" w:hAnsi="Verdana"/>
          <w:color w:val="333333"/>
          <w:sz w:val="27"/>
          <w:szCs w:val="27"/>
        </w:rPr>
        <w:t>(</w:t>
      </w:r>
      <w:r>
        <w:rPr>
          <w:rFonts w:ascii="Verdana" w:hAnsi="Verdana"/>
          <w:color w:val="333333"/>
          <w:sz w:val="27"/>
          <w:szCs w:val="27"/>
        </w:rPr>
        <w:t>居</w:t>
      </w:r>
      <w:r>
        <w:rPr>
          <w:rFonts w:ascii="Verdana" w:hAnsi="Verdana"/>
          <w:color w:val="333333"/>
          <w:sz w:val="27"/>
          <w:szCs w:val="27"/>
        </w:rPr>
        <w:t>)</w:t>
      </w:r>
      <w:r>
        <w:rPr>
          <w:rFonts w:ascii="Verdana" w:hAnsi="Verdana"/>
          <w:color w:val="333333"/>
          <w:sz w:val="27"/>
          <w:szCs w:val="27"/>
        </w:rPr>
        <w:t>民委员会和被害人意见、拟禁止的事项等进行调查了解，形成评估意见，及时提交委托机关。</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十、审判程序和人民法院的职责</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39.</w:t>
      </w:r>
      <w:r>
        <w:rPr>
          <w:rFonts w:ascii="Verdana" w:hAnsi="Verdana"/>
          <w:color w:val="333333"/>
          <w:sz w:val="27"/>
          <w:szCs w:val="27"/>
        </w:rPr>
        <w:t>审判阶段认罪认罚自愿性、合法性审查。办理认罪认罚案件，人民法院应当告知被告人享有的诉讼权利和认罪认罚的法律规定，听取被告人及其辩护人或者值班律师的意见。庭审中应当对认罪认罚的自愿性、具结书内容的真实性和合法性进行审查核实，重点核实以下内容：</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被告人是否自愿认罪认罚，有无因受到暴力、威胁、引诱而违背意愿认罪认罚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被告人认罪认罚时的认知能力和精神状态是否正常</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被告人是否理解认罪认罚的性质和可能导致的法律后果</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r>
        <w:rPr>
          <w:rFonts w:ascii="Verdana" w:hAnsi="Verdana"/>
          <w:color w:val="333333"/>
          <w:sz w:val="27"/>
          <w:szCs w:val="27"/>
        </w:rPr>
        <w:t>人民检察院、公安机关是否履行告知义务并听取意见</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五</w:t>
      </w:r>
      <w:r>
        <w:rPr>
          <w:rFonts w:ascii="Verdana" w:hAnsi="Verdana"/>
          <w:color w:val="333333"/>
          <w:sz w:val="27"/>
          <w:szCs w:val="27"/>
        </w:rPr>
        <w:t>)</w:t>
      </w:r>
      <w:r>
        <w:rPr>
          <w:rFonts w:ascii="Verdana" w:hAnsi="Verdana"/>
          <w:color w:val="333333"/>
          <w:sz w:val="27"/>
          <w:szCs w:val="27"/>
        </w:rPr>
        <w:t>值班律师或者辩护人是否与人民检察院进行沟通，提供了有效法律帮助或者辩护，并在场见证认罪认罚具结书的签署。</w:t>
      </w:r>
    </w:p>
    <w:p w:rsidR="00A56C48" w:rsidRDefault="00A56C48" w:rsidP="00A56C48">
      <w:pPr>
        <w:pStyle w:val="a4"/>
      </w:pPr>
      <w:r>
        <w:rPr>
          <w:rFonts w:ascii="Verdana" w:hAnsi="Verdana"/>
          <w:color w:val="333333"/>
          <w:sz w:val="27"/>
          <w:szCs w:val="27"/>
        </w:rPr>
        <w:t xml:space="preserve">　　庭审中审判人员可以根据具体案情，围绕定罪量刑的关键事实，对被告人认罪认罚的自愿性、真实性等进行发问，确认被告人是否实施犯罪，是否真诚悔罪。</w:t>
      </w:r>
    </w:p>
    <w:p w:rsidR="00A56C48" w:rsidRDefault="00A56C48" w:rsidP="00A56C48">
      <w:pPr>
        <w:pStyle w:val="a4"/>
      </w:pPr>
      <w:r>
        <w:rPr>
          <w:rFonts w:ascii="Verdana" w:hAnsi="Verdana"/>
          <w:color w:val="333333"/>
          <w:sz w:val="27"/>
          <w:szCs w:val="27"/>
        </w:rPr>
        <w:t xml:space="preserve">　　被告人违背意愿认罪认罚，或者认罪认罚后又反悔，依法需要转换程序的，应当按照普通程序对案件重新审理。发现存在刑讯逼供等非法取证行为的，依照法律规定处理。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40.</w:t>
      </w:r>
      <w:r>
        <w:rPr>
          <w:rFonts w:ascii="Verdana" w:hAnsi="Verdana"/>
          <w:color w:val="333333"/>
          <w:sz w:val="27"/>
          <w:szCs w:val="27"/>
        </w:rPr>
        <w:t>量刑建议的采纳。对于人民检察院提出的量刑建议，人民法院应当依法进行审查。对于事实清楚，证据确实、充分，指控的罪名准确，量刑建议适当的，人民法院应当采纳。具有下列情形之一的，不予采纳：</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被告人的行为不构成犯罪或者不应当追究刑事责任的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被告人违背意愿认罪认罚的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被告人否认指控的犯罪事实的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r>
        <w:rPr>
          <w:rFonts w:ascii="Verdana" w:hAnsi="Verdana"/>
          <w:color w:val="333333"/>
          <w:sz w:val="27"/>
          <w:szCs w:val="27"/>
        </w:rPr>
        <w:t>起诉指控的罪名与审理认定的罪名不一致的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五</w:t>
      </w:r>
      <w:r>
        <w:rPr>
          <w:rFonts w:ascii="Verdana" w:hAnsi="Verdana"/>
          <w:color w:val="333333"/>
          <w:sz w:val="27"/>
          <w:szCs w:val="27"/>
        </w:rPr>
        <w:t>)</w:t>
      </w:r>
      <w:r>
        <w:rPr>
          <w:rFonts w:ascii="Verdana" w:hAnsi="Verdana"/>
          <w:color w:val="333333"/>
          <w:sz w:val="27"/>
          <w:szCs w:val="27"/>
        </w:rPr>
        <w:t>其他可能影响公正审判的情形。</w:t>
      </w:r>
    </w:p>
    <w:p w:rsidR="00A56C48" w:rsidRDefault="00A56C48" w:rsidP="00A56C48">
      <w:pPr>
        <w:pStyle w:val="a4"/>
      </w:pPr>
      <w:r>
        <w:rPr>
          <w:rFonts w:ascii="Verdana" w:hAnsi="Verdana"/>
          <w:color w:val="333333"/>
          <w:sz w:val="27"/>
          <w:szCs w:val="27"/>
        </w:rPr>
        <w:lastRenderedPageBreak/>
        <w:t xml:space="preserve">　　对于人民检察院起诉指控的事实清楚，量刑建议适当，但指控的罪名与审理认定的罪名不一致的，人民法院可以听取人民检察院、被告人及其辩护人对审理认定罪名的意见，依法</w:t>
      </w:r>
      <w:proofErr w:type="gramStart"/>
      <w:r>
        <w:rPr>
          <w:rFonts w:ascii="Verdana" w:hAnsi="Verdana"/>
          <w:color w:val="333333"/>
          <w:sz w:val="27"/>
          <w:szCs w:val="27"/>
        </w:rPr>
        <w:t>作出</w:t>
      </w:r>
      <w:proofErr w:type="gramEnd"/>
      <w:r>
        <w:rPr>
          <w:rFonts w:ascii="Verdana" w:hAnsi="Verdana"/>
          <w:color w:val="333333"/>
          <w:sz w:val="27"/>
          <w:szCs w:val="27"/>
        </w:rPr>
        <w:t>裁判。</w:t>
      </w:r>
    </w:p>
    <w:p w:rsidR="00A56C48" w:rsidRDefault="00A56C48" w:rsidP="00A56C48">
      <w:pPr>
        <w:pStyle w:val="a4"/>
      </w:pPr>
      <w:r>
        <w:rPr>
          <w:rFonts w:ascii="Verdana" w:hAnsi="Verdana"/>
          <w:color w:val="333333"/>
          <w:sz w:val="27"/>
          <w:szCs w:val="27"/>
        </w:rPr>
        <w:t xml:space="preserve">　　人民法院不采纳人民检察院量刑建议的，应当说明理由和依据。</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41.</w:t>
      </w:r>
      <w:r>
        <w:rPr>
          <w:rFonts w:ascii="Verdana" w:hAnsi="Verdana"/>
          <w:color w:val="333333"/>
          <w:sz w:val="27"/>
          <w:szCs w:val="27"/>
        </w:rPr>
        <w:t>量刑建议的调整。人民法院经审理，认为量刑建议明显不当，或者被告人、辩护人对量刑建议有异议且有理有据的，人民法院应当告知人民检察院，人民检察院可以调整量刑建议。人民法院认为调整后的量刑建议适当的，应当予以采纳</w:t>
      </w:r>
      <w:r>
        <w:rPr>
          <w:rFonts w:ascii="Verdana" w:hAnsi="Verdana"/>
          <w:color w:val="333333"/>
          <w:sz w:val="27"/>
          <w:szCs w:val="27"/>
        </w:rPr>
        <w:t>;</w:t>
      </w:r>
      <w:r>
        <w:rPr>
          <w:rFonts w:ascii="Verdana" w:hAnsi="Verdana"/>
          <w:color w:val="333333"/>
          <w:sz w:val="27"/>
          <w:szCs w:val="27"/>
        </w:rPr>
        <w:t>人民检察院不调整量刑建议或者调整后仍然明显不当的，人民法院应当依法</w:t>
      </w:r>
      <w:proofErr w:type="gramStart"/>
      <w:r>
        <w:rPr>
          <w:rFonts w:ascii="Verdana" w:hAnsi="Verdana"/>
          <w:color w:val="333333"/>
          <w:sz w:val="27"/>
          <w:szCs w:val="27"/>
        </w:rPr>
        <w:t>作出</w:t>
      </w:r>
      <w:proofErr w:type="gramEnd"/>
      <w:r>
        <w:rPr>
          <w:rFonts w:ascii="Verdana" w:hAnsi="Verdana"/>
          <w:color w:val="333333"/>
          <w:sz w:val="27"/>
          <w:szCs w:val="27"/>
        </w:rPr>
        <w:t>判决。</w:t>
      </w:r>
    </w:p>
    <w:p w:rsidR="00A56C48" w:rsidRDefault="00A56C48" w:rsidP="00A56C48">
      <w:pPr>
        <w:pStyle w:val="a4"/>
      </w:pPr>
      <w:r>
        <w:rPr>
          <w:rFonts w:ascii="Verdana" w:hAnsi="Verdana"/>
          <w:color w:val="333333"/>
          <w:sz w:val="27"/>
          <w:szCs w:val="27"/>
        </w:rPr>
        <w:t xml:space="preserve">　　</w:t>
      </w:r>
      <w:proofErr w:type="gramStart"/>
      <w:r>
        <w:rPr>
          <w:rFonts w:ascii="Verdana" w:hAnsi="Verdana"/>
          <w:color w:val="333333"/>
          <w:sz w:val="27"/>
          <w:szCs w:val="27"/>
        </w:rPr>
        <w:t>适用速裁程序</w:t>
      </w:r>
      <w:proofErr w:type="gramEnd"/>
      <w:r>
        <w:rPr>
          <w:rFonts w:ascii="Verdana" w:hAnsi="Verdana"/>
          <w:color w:val="333333"/>
          <w:sz w:val="27"/>
          <w:szCs w:val="27"/>
        </w:rPr>
        <w:t>审理的，人民检察院调整量刑建议应当在庭前或者当庭提出。调整量刑建议后，被告人同意继续</w:t>
      </w:r>
      <w:proofErr w:type="gramStart"/>
      <w:r>
        <w:rPr>
          <w:rFonts w:ascii="Verdana" w:hAnsi="Verdana"/>
          <w:color w:val="333333"/>
          <w:sz w:val="27"/>
          <w:szCs w:val="27"/>
        </w:rPr>
        <w:t>适用速裁程序</w:t>
      </w:r>
      <w:proofErr w:type="gramEnd"/>
      <w:r>
        <w:rPr>
          <w:rFonts w:ascii="Verdana" w:hAnsi="Verdana"/>
          <w:color w:val="333333"/>
          <w:sz w:val="27"/>
          <w:szCs w:val="27"/>
        </w:rPr>
        <w:t>的，不需要转换程序处理。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42.</w:t>
      </w:r>
      <w:proofErr w:type="gramStart"/>
      <w:r>
        <w:rPr>
          <w:rFonts w:ascii="Verdana" w:hAnsi="Verdana"/>
          <w:color w:val="333333"/>
          <w:sz w:val="27"/>
          <w:szCs w:val="27"/>
        </w:rPr>
        <w:t>速裁程序</w:t>
      </w:r>
      <w:proofErr w:type="gramEnd"/>
      <w:r>
        <w:rPr>
          <w:rFonts w:ascii="Verdana" w:hAnsi="Verdana"/>
          <w:color w:val="333333"/>
          <w:sz w:val="27"/>
          <w:szCs w:val="27"/>
        </w:rPr>
        <w:t>的适用条件。基层人民法院管辖的可能判处三年有期徒刑以下刑罚的案件，案件事实清楚，证据确实、充分，被告人认罪认罚并同意</w:t>
      </w:r>
      <w:proofErr w:type="gramStart"/>
      <w:r>
        <w:rPr>
          <w:rFonts w:ascii="Verdana" w:hAnsi="Verdana"/>
          <w:color w:val="333333"/>
          <w:sz w:val="27"/>
          <w:szCs w:val="27"/>
        </w:rPr>
        <w:t>适用速裁程序</w:t>
      </w:r>
      <w:proofErr w:type="gramEnd"/>
      <w:r>
        <w:rPr>
          <w:rFonts w:ascii="Verdana" w:hAnsi="Verdana"/>
          <w:color w:val="333333"/>
          <w:sz w:val="27"/>
          <w:szCs w:val="27"/>
        </w:rPr>
        <w:t>的，可以</w:t>
      </w:r>
      <w:proofErr w:type="gramStart"/>
      <w:r>
        <w:rPr>
          <w:rFonts w:ascii="Verdana" w:hAnsi="Verdana"/>
          <w:color w:val="333333"/>
          <w:sz w:val="27"/>
          <w:szCs w:val="27"/>
        </w:rPr>
        <w:t>适用速裁程序</w:t>
      </w:r>
      <w:proofErr w:type="gramEnd"/>
      <w:r>
        <w:rPr>
          <w:rFonts w:ascii="Verdana" w:hAnsi="Verdana"/>
          <w:color w:val="333333"/>
          <w:sz w:val="27"/>
          <w:szCs w:val="27"/>
        </w:rPr>
        <w:t>，由审判员一人独任审判。人民检察院提起公诉时，可以建议人民法院</w:t>
      </w:r>
      <w:proofErr w:type="gramStart"/>
      <w:r>
        <w:rPr>
          <w:rFonts w:ascii="Verdana" w:hAnsi="Verdana"/>
          <w:color w:val="333333"/>
          <w:sz w:val="27"/>
          <w:szCs w:val="27"/>
        </w:rPr>
        <w:t>适用速裁程序</w:t>
      </w:r>
      <w:proofErr w:type="gramEnd"/>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有下列情形之一的，</w:t>
      </w:r>
      <w:proofErr w:type="gramStart"/>
      <w:r>
        <w:rPr>
          <w:rFonts w:ascii="Verdana" w:hAnsi="Verdana"/>
          <w:color w:val="333333"/>
          <w:sz w:val="27"/>
          <w:szCs w:val="27"/>
        </w:rPr>
        <w:t>不适用速裁程序</w:t>
      </w:r>
      <w:proofErr w:type="gramEnd"/>
      <w:r>
        <w:rPr>
          <w:rFonts w:ascii="Verdana" w:hAnsi="Verdana"/>
          <w:color w:val="333333"/>
          <w:sz w:val="27"/>
          <w:szCs w:val="27"/>
        </w:rPr>
        <w:t>办理：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被告人是盲、聋、哑人，或者是尚未完全丧失辨认或者控制自己行为能力的精神病人的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被告人是未成年人的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案件有重大社会影响的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四</w:t>
      </w:r>
      <w:r>
        <w:rPr>
          <w:rFonts w:ascii="Verdana" w:hAnsi="Verdana"/>
          <w:color w:val="333333"/>
          <w:sz w:val="27"/>
          <w:szCs w:val="27"/>
        </w:rPr>
        <w:t>)</w:t>
      </w:r>
      <w:r>
        <w:rPr>
          <w:rFonts w:ascii="Verdana" w:hAnsi="Verdana"/>
          <w:color w:val="333333"/>
          <w:sz w:val="27"/>
          <w:szCs w:val="27"/>
        </w:rPr>
        <w:t>共同犯罪案件中部分被告人对指控的犯罪事实、罪名、量刑建议或者</w:t>
      </w:r>
      <w:proofErr w:type="gramStart"/>
      <w:r>
        <w:rPr>
          <w:rFonts w:ascii="Verdana" w:hAnsi="Verdana"/>
          <w:color w:val="333333"/>
          <w:sz w:val="27"/>
          <w:szCs w:val="27"/>
        </w:rPr>
        <w:t>适用速裁程序</w:t>
      </w:r>
      <w:proofErr w:type="gramEnd"/>
      <w:r>
        <w:rPr>
          <w:rFonts w:ascii="Verdana" w:hAnsi="Verdana"/>
          <w:color w:val="333333"/>
          <w:sz w:val="27"/>
          <w:szCs w:val="27"/>
        </w:rPr>
        <w:t>有异议的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五</w:t>
      </w:r>
      <w:r>
        <w:rPr>
          <w:rFonts w:ascii="Verdana" w:hAnsi="Verdana"/>
          <w:color w:val="333333"/>
          <w:sz w:val="27"/>
          <w:szCs w:val="27"/>
        </w:rPr>
        <w:t>)</w:t>
      </w:r>
      <w:r>
        <w:rPr>
          <w:rFonts w:ascii="Verdana" w:hAnsi="Verdana"/>
          <w:color w:val="333333"/>
          <w:sz w:val="27"/>
          <w:szCs w:val="27"/>
        </w:rPr>
        <w:t>被告人与被害人或者其法定代理人没有就附带民事诉讼赔偿等事项达成调解或者和解协议的</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六</w:t>
      </w:r>
      <w:r>
        <w:rPr>
          <w:rFonts w:ascii="Verdana" w:hAnsi="Verdana"/>
          <w:color w:val="333333"/>
          <w:sz w:val="27"/>
          <w:szCs w:val="27"/>
        </w:rPr>
        <w:t>)</w:t>
      </w:r>
      <w:r>
        <w:rPr>
          <w:rFonts w:ascii="Verdana" w:hAnsi="Verdana"/>
          <w:color w:val="333333"/>
          <w:sz w:val="27"/>
          <w:szCs w:val="27"/>
        </w:rPr>
        <w:t>其他不宜</w:t>
      </w:r>
      <w:proofErr w:type="gramStart"/>
      <w:r>
        <w:rPr>
          <w:rFonts w:ascii="Verdana" w:hAnsi="Verdana"/>
          <w:color w:val="333333"/>
          <w:sz w:val="27"/>
          <w:szCs w:val="27"/>
        </w:rPr>
        <w:t>适用速裁程序</w:t>
      </w:r>
      <w:proofErr w:type="gramEnd"/>
      <w:r>
        <w:rPr>
          <w:rFonts w:ascii="Verdana" w:hAnsi="Verdana"/>
          <w:color w:val="333333"/>
          <w:sz w:val="27"/>
          <w:szCs w:val="27"/>
        </w:rPr>
        <w:t>办理的案件。</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43.</w:t>
      </w:r>
      <w:proofErr w:type="gramStart"/>
      <w:r>
        <w:rPr>
          <w:rFonts w:ascii="Verdana" w:hAnsi="Verdana"/>
          <w:color w:val="333333"/>
          <w:sz w:val="27"/>
          <w:szCs w:val="27"/>
        </w:rPr>
        <w:t>速裁程序</w:t>
      </w:r>
      <w:proofErr w:type="gramEnd"/>
      <w:r>
        <w:rPr>
          <w:rFonts w:ascii="Verdana" w:hAnsi="Verdana"/>
          <w:color w:val="333333"/>
          <w:sz w:val="27"/>
          <w:szCs w:val="27"/>
        </w:rPr>
        <w:t>的审理期限。</w:t>
      </w:r>
      <w:proofErr w:type="gramStart"/>
      <w:r>
        <w:rPr>
          <w:rFonts w:ascii="Verdana" w:hAnsi="Verdana"/>
          <w:color w:val="333333"/>
          <w:sz w:val="27"/>
          <w:szCs w:val="27"/>
        </w:rPr>
        <w:t>适用速裁程序</w:t>
      </w:r>
      <w:proofErr w:type="gramEnd"/>
      <w:r>
        <w:rPr>
          <w:rFonts w:ascii="Verdana" w:hAnsi="Verdana"/>
          <w:color w:val="333333"/>
          <w:sz w:val="27"/>
          <w:szCs w:val="27"/>
        </w:rPr>
        <w:t>审理案件，人民法院应当在受理后十日以内审结</w:t>
      </w:r>
      <w:r>
        <w:rPr>
          <w:rFonts w:ascii="Verdana" w:hAnsi="Verdana"/>
          <w:color w:val="333333"/>
          <w:sz w:val="27"/>
          <w:szCs w:val="27"/>
        </w:rPr>
        <w:t>;</w:t>
      </w:r>
      <w:r>
        <w:rPr>
          <w:rFonts w:ascii="Verdana" w:hAnsi="Verdana"/>
          <w:color w:val="333333"/>
          <w:sz w:val="27"/>
          <w:szCs w:val="27"/>
        </w:rPr>
        <w:t>对可能判处的有期徒刑超过一年的，应当在十五日以内审结。</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44.</w:t>
      </w:r>
      <w:proofErr w:type="gramStart"/>
      <w:r>
        <w:rPr>
          <w:rFonts w:ascii="Verdana" w:hAnsi="Verdana"/>
          <w:color w:val="333333"/>
          <w:sz w:val="27"/>
          <w:szCs w:val="27"/>
        </w:rPr>
        <w:t>速裁案件</w:t>
      </w:r>
      <w:proofErr w:type="gramEnd"/>
      <w:r>
        <w:rPr>
          <w:rFonts w:ascii="Verdana" w:hAnsi="Verdana"/>
          <w:color w:val="333333"/>
          <w:sz w:val="27"/>
          <w:szCs w:val="27"/>
        </w:rPr>
        <w:t>的审理程序。</w:t>
      </w:r>
      <w:proofErr w:type="gramStart"/>
      <w:r>
        <w:rPr>
          <w:rFonts w:ascii="Verdana" w:hAnsi="Verdana"/>
          <w:color w:val="333333"/>
          <w:sz w:val="27"/>
          <w:szCs w:val="27"/>
        </w:rPr>
        <w:t>适用速裁程序</w:t>
      </w:r>
      <w:proofErr w:type="gramEnd"/>
      <w:r>
        <w:rPr>
          <w:rFonts w:ascii="Verdana" w:hAnsi="Verdana"/>
          <w:color w:val="333333"/>
          <w:sz w:val="27"/>
          <w:szCs w:val="27"/>
        </w:rPr>
        <w:t>审理案件，不受刑事诉讼法规定的送达期限的限制，一般不进行法庭调查、法庭辩论，但在判决宣告前应当听取辩护人的意见和被告人的最后陈述意见。</w:t>
      </w:r>
    </w:p>
    <w:p w:rsidR="00A56C48" w:rsidRDefault="00A56C48" w:rsidP="00A56C48">
      <w:pPr>
        <w:pStyle w:val="a4"/>
      </w:pPr>
      <w:r>
        <w:rPr>
          <w:rFonts w:ascii="Verdana" w:hAnsi="Verdana"/>
          <w:color w:val="333333"/>
          <w:sz w:val="27"/>
          <w:szCs w:val="27"/>
        </w:rPr>
        <w:t xml:space="preserve">　　人民法院</w:t>
      </w:r>
      <w:proofErr w:type="gramStart"/>
      <w:r>
        <w:rPr>
          <w:rFonts w:ascii="Verdana" w:hAnsi="Verdana"/>
          <w:color w:val="333333"/>
          <w:sz w:val="27"/>
          <w:szCs w:val="27"/>
        </w:rPr>
        <w:t>适用速裁程序</w:t>
      </w:r>
      <w:proofErr w:type="gramEnd"/>
      <w:r>
        <w:rPr>
          <w:rFonts w:ascii="Verdana" w:hAnsi="Verdana"/>
          <w:color w:val="333333"/>
          <w:sz w:val="27"/>
          <w:szCs w:val="27"/>
        </w:rPr>
        <w:t>审理案件，可以在向被告人送达起诉书时一并送达权利义务告知书、开庭传票，并核实被告人自然信息等情况。根据需要，可以集中送达。</w:t>
      </w:r>
    </w:p>
    <w:p w:rsidR="00A56C48" w:rsidRDefault="00A56C48" w:rsidP="00A56C48">
      <w:pPr>
        <w:pStyle w:val="a4"/>
      </w:pPr>
      <w:r>
        <w:rPr>
          <w:rFonts w:ascii="Verdana" w:hAnsi="Verdana"/>
          <w:color w:val="333333"/>
          <w:sz w:val="27"/>
          <w:szCs w:val="27"/>
        </w:rPr>
        <w:t xml:space="preserve">　　人民法院</w:t>
      </w:r>
      <w:proofErr w:type="gramStart"/>
      <w:r>
        <w:rPr>
          <w:rFonts w:ascii="Verdana" w:hAnsi="Verdana"/>
          <w:color w:val="333333"/>
          <w:sz w:val="27"/>
          <w:szCs w:val="27"/>
        </w:rPr>
        <w:t>适用速裁程序</w:t>
      </w:r>
      <w:proofErr w:type="gramEnd"/>
      <w:r>
        <w:rPr>
          <w:rFonts w:ascii="Verdana" w:hAnsi="Verdana"/>
          <w:color w:val="333333"/>
          <w:sz w:val="27"/>
          <w:szCs w:val="27"/>
        </w:rPr>
        <w:t>审理案件，可以集中开庭，逐案审理。人民检察院可以指派公诉人集中出庭支持公诉。公诉人简要宣读起诉书后，</w:t>
      </w:r>
      <w:r>
        <w:rPr>
          <w:rFonts w:ascii="Verdana" w:hAnsi="Verdana"/>
          <w:color w:val="333333"/>
          <w:sz w:val="27"/>
          <w:szCs w:val="27"/>
        </w:rPr>
        <w:lastRenderedPageBreak/>
        <w:t>审判人员应当当庭询问被告人对指控事实、证据、量刑建议以及</w:t>
      </w:r>
      <w:proofErr w:type="gramStart"/>
      <w:r>
        <w:rPr>
          <w:rFonts w:ascii="Verdana" w:hAnsi="Verdana"/>
          <w:color w:val="333333"/>
          <w:sz w:val="27"/>
          <w:szCs w:val="27"/>
        </w:rPr>
        <w:t>适用速裁程序</w:t>
      </w:r>
      <w:proofErr w:type="gramEnd"/>
      <w:r>
        <w:rPr>
          <w:rFonts w:ascii="Verdana" w:hAnsi="Verdana"/>
          <w:color w:val="333333"/>
          <w:sz w:val="27"/>
          <w:szCs w:val="27"/>
        </w:rPr>
        <w:t>的意见，核实具结书签署的自愿性、真实性、合法性，并核实附带民事诉讼赔偿等情况。</w:t>
      </w:r>
    </w:p>
    <w:p w:rsidR="00A56C48" w:rsidRDefault="00A56C48" w:rsidP="00A56C48">
      <w:pPr>
        <w:pStyle w:val="a4"/>
      </w:pPr>
      <w:r>
        <w:rPr>
          <w:rFonts w:ascii="Verdana" w:hAnsi="Verdana"/>
          <w:color w:val="333333"/>
          <w:sz w:val="27"/>
          <w:szCs w:val="27"/>
        </w:rPr>
        <w:t xml:space="preserve">　　</w:t>
      </w:r>
      <w:proofErr w:type="gramStart"/>
      <w:r>
        <w:rPr>
          <w:rFonts w:ascii="Verdana" w:hAnsi="Verdana"/>
          <w:color w:val="333333"/>
          <w:sz w:val="27"/>
          <w:szCs w:val="27"/>
        </w:rPr>
        <w:t>适用速裁程序</w:t>
      </w:r>
      <w:proofErr w:type="gramEnd"/>
      <w:r>
        <w:rPr>
          <w:rFonts w:ascii="Verdana" w:hAnsi="Verdana"/>
          <w:color w:val="333333"/>
          <w:sz w:val="27"/>
          <w:szCs w:val="27"/>
        </w:rPr>
        <w:t>审理案件，应当当庭宣判。集中审理的，可以集中当庭宣判。宣判时，根据案件需要，可以由审判员进行法庭教育。裁判文书可以简化。</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45.</w:t>
      </w:r>
      <w:proofErr w:type="gramStart"/>
      <w:r>
        <w:rPr>
          <w:rFonts w:ascii="Verdana" w:hAnsi="Verdana"/>
          <w:color w:val="333333"/>
          <w:sz w:val="27"/>
          <w:szCs w:val="27"/>
        </w:rPr>
        <w:t>速裁案件</w:t>
      </w:r>
      <w:proofErr w:type="gramEnd"/>
      <w:r>
        <w:rPr>
          <w:rFonts w:ascii="Verdana" w:hAnsi="Verdana"/>
          <w:color w:val="333333"/>
          <w:sz w:val="27"/>
          <w:szCs w:val="27"/>
        </w:rPr>
        <w:t>的二审程序。被告人不服</w:t>
      </w:r>
      <w:proofErr w:type="gramStart"/>
      <w:r>
        <w:rPr>
          <w:rFonts w:ascii="Verdana" w:hAnsi="Verdana"/>
          <w:color w:val="333333"/>
          <w:sz w:val="27"/>
          <w:szCs w:val="27"/>
        </w:rPr>
        <w:t>适用速裁程序作出</w:t>
      </w:r>
      <w:proofErr w:type="gramEnd"/>
      <w:r>
        <w:rPr>
          <w:rFonts w:ascii="Verdana" w:hAnsi="Verdana"/>
          <w:color w:val="333333"/>
          <w:sz w:val="27"/>
          <w:szCs w:val="27"/>
        </w:rPr>
        <w:t>的第一审判决提出上诉的案件，可以不开庭审理。第二审人民法院审查后，按照下列情形分别处理：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发现被告人以事实不清、证据不足为由提出上诉的，应当裁定撤销原判，发回原审人民法院适用普通程序重新审理，不再按认罪认罚案件从宽处罚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发现被告人以量刑不当为由提出上诉的，原判量刑适当的，应当裁定驳回上诉，维持原判</w:t>
      </w:r>
      <w:r>
        <w:rPr>
          <w:rFonts w:ascii="Verdana" w:hAnsi="Verdana"/>
          <w:color w:val="333333"/>
          <w:sz w:val="27"/>
          <w:szCs w:val="27"/>
        </w:rPr>
        <w:t>;</w:t>
      </w:r>
      <w:r>
        <w:rPr>
          <w:rFonts w:ascii="Verdana" w:hAnsi="Verdana"/>
          <w:color w:val="333333"/>
          <w:sz w:val="27"/>
          <w:szCs w:val="27"/>
        </w:rPr>
        <w:t>原判量刑不当的，经审理后依法改判。</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46.</w:t>
      </w:r>
      <w:r>
        <w:rPr>
          <w:rFonts w:ascii="Verdana" w:hAnsi="Verdana"/>
          <w:color w:val="333333"/>
          <w:sz w:val="27"/>
          <w:szCs w:val="27"/>
        </w:rPr>
        <w:t>简易程序的适用。基层人民法院管辖的被告人认罪认罚案件，事实清楚、证据充分，被告人对适用简易程序没有异议的，可以适用简易程序审判。</w:t>
      </w:r>
    </w:p>
    <w:p w:rsidR="00A56C48" w:rsidRDefault="00A56C48" w:rsidP="00A56C48">
      <w:pPr>
        <w:pStyle w:val="a4"/>
      </w:pPr>
      <w:r>
        <w:rPr>
          <w:rFonts w:ascii="Verdana" w:hAnsi="Verdana"/>
          <w:color w:val="333333"/>
          <w:sz w:val="27"/>
          <w:szCs w:val="27"/>
        </w:rPr>
        <w:t xml:space="preserve">　　适用简易程序审理认罪认罚案件，公诉人可以简要宣读起诉书，审判人员当庭询问被告人对指控的犯罪事实、证据、量刑建议及适用简易</w:t>
      </w:r>
      <w:r>
        <w:rPr>
          <w:rFonts w:ascii="Verdana" w:hAnsi="Verdana"/>
          <w:color w:val="333333"/>
          <w:sz w:val="27"/>
          <w:szCs w:val="27"/>
        </w:rPr>
        <w:lastRenderedPageBreak/>
        <w:t>程序的意见，核实具结书签署的自愿性、真实性、合法性。法庭调查可以简化，但对有争议的事实和证据应当进行调查、质证，法庭辩论可以仅围绕有争议的问题进行。裁判文书可以简化。</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47.</w:t>
      </w:r>
      <w:r>
        <w:rPr>
          <w:rFonts w:ascii="Verdana" w:hAnsi="Verdana"/>
          <w:color w:val="333333"/>
          <w:sz w:val="27"/>
          <w:szCs w:val="27"/>
        </w:rPr>
        <w:t>普通程序的适用。适用普通程序办理认罪认罚案件，可以适当简化法庭调查、辩论程序。公诉人宣读起诉书后，合议庭当庭询问被告人对指控的犯罪事实、证据及量刑建议的意见，核实具结书签署的自愿性、真实性、合法性。公诉人、辩护人、审判人员对被告人的讯问、发问可以简化。对控辩双方无异议的证据，可以仅就证据名称及证明内容进行说明</w:t>
      </w:r>
      <w:r>
        <w:rPr>
          <w:rFonts w:ascii="Verdana" w:hAnsi="Verdana"/>
          <w:color w:val="333333"/>
          <w:sz w:val="27"/>
          <w:szCs w:val="27"/>
        </w:rPr>
        <w:t>;</w:t>
      </w:r>
      <w:r>
        <w:rPr>
          <w:rFonts w:ascii="Verdana" w:hAnsi="Verdana"/>
          <w:color w:val="333333"/>
          <w:sz w:val="27"/>
          <w:szCs w:val="27"/>
        </w:rPr>
        <w:t>对控辩双方有异议，或者法庭认为有必要调查核实的证据，应当出示并进行质证。法庭辩论主要围绕有争议的问题进行，裁判文书可以适当简化。</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48.</w:t>
      </w:r>
      <w:r>
        <w:rPr>
          <w:rFonts w:ascii="Verdana" w:hAnsi="Verdana"/>
          <w:color w:val="333333"/>
          <w:sz w:val="27"/>
          <w:szCs w:val="27"/>
        </w:rPr>
        <w:t>程序转换。人民法院在</w:t>
      </w:r>
      <w:proofErr w:type="gramStart"/>
      <w:r>
        <w:rPr>
          <w:rFonts w:ascii="Verdana" w:hAnsi="Verdana"/>
          <w:color w:val="333333"/>
          <w:sz w:val="27"/>
          <w:szCs w:val="27"/>
        </w:rPr>
        <w:t>适用速裁程序</w:t>
      </w:r>
      <w:proofErr w:type="gramEnd"/>
      <w:r>
        <w:rPr>
          <w:rFonts w:ascii="Verdana" w:hAnsi="Verdana"/>
          <w:color w:val="333333"/>
          <w:sz w:val="27"/>
          <w:szCs w:val="27"/>
        </w:rPr>
        <w:t>审理过程中，发现有被告人的行为不构成犯罪或者不应当追究刑事责任、被告人违背意愿认罪认罚、被告人否认指控的犯罪事实情形的，应当转为普通程序审理。发现其他不宜</w:t>
      </w:r>
      <w:proofErr w:type="gramStart"/>
      <w:r>
        <w:rPr>
          <w:rFonts w:ascii="Verdana" w:hAnsi="Verdana"/>
          <w:color w:val="333333"/>
          <w:sz w:val="27"/>
          <w:szCs w:val="27"/>
        </w:rPr>
        <w:t>适用速裁程序</w:t>
      </w:r>
      <w:proofErr w:type="gramEnd"/>
      <w:r>
        <w:rPr>
          <w:rFonts w:ascii="Verdana" w:hAnsi="Verdana"/>
          <w:color w:val="333333"/>
          <w:sz w:val="27"/>
          <w:szCs w:val="27"/>
        </w:rPr>
        <w:t>但符合简易程序适用条件的，应当转为简易程序重新审理。</w:t>
      </w:r>
    </w:p>
    <w:p w:rsidR="00A56C48" w:rsidRDefault="00A56C48" w:rsidP="00A56C48">
      <w:pPr>
        <w:pStyle w:val="a4"/>
      </w:pPr>
      <w:r>
        <w:rPr>
          <w:rFonts w:ascii="Verdana" w:hAnsi="Verdana"/>
          <w:color w:val="333333"/>
          <w:sz w:val="27"/>
          <w:szCs w:val="27"/>
        </w:rPr>
        <w:t xml:space="preserve">　　发现有不宜适用简易程序审理情形的，应当转为普通程序审理。</w:t>
      </w:r>
    </w:p>
    <w:p w:rsidR="00A56C48" w:rsidRDefault="00A56C48" w:rsidP="00A56C48">
      <w:pPr>
        <w:pStyle w:val="a4"/>
      </w:pPr>
      <w:r>
        <w:rPr>
          <w:rFonts w:ascii="Verdana" w:hAnsi="Verdana"/>
          <w:color w:val="333333"/>
          <w:sz w:val="27"/>
          <w:szCs w:val="27"/>
        </w:rPr>
        <w:t xml:space="preserve">　　人民检察院在人民法院</w:t>
      </w:r>
      <w:proofErr w:type="gramStart"/>
      <w:r>
        <w:rPr>
          <w:rFonts w:ascii="Verdana" w:hAnsi="Verdana"/>
          <w:color w:val="333333"/>
          <w:sz w:val="27"/>
          <w:szCs w:val="27"/>
        </w:rPr>
        <w:t>适用速裁程序</w:t>
      </w:r>
      <w:proofErr w:type="gramEnd"/>
      <w:r>
        <w:rPr>
          <w:rFonts w:ascii="Verdana" w:hAnsi="Verdana"/>
          <w:color w:val="333333"/>
          <w:sz w:val="27"/>
          <w:szCs w:val="27"/>
        </w:rPr>
        <w:t>审理案件过程中，发现有不宜</w:t>
      </w:r>
      <w:proofErr w:type="gramStart"/>
      <w:r>
        <w:rPr>
          <w:rFonts w:ascii="Verdana" w:hAnsi="Verdana"/>
          <w:color w:val="333333"/>
          <w:sz w:val="27"/>
          <w:szCs w:val="27"/>
        </w:rPr>
        <w:t>适用速裁程序</w:t>
      </w:r>
      <w:proofErr w:type="gramEnd"/>
      <w:r>
        <w:rPr>
          <w:rFonts w:ascii="Verdana" w:hAnsi="Verdana"/>
          <w:color w:val="333333"/>
          <w:sz w:val="27"/>
          <w:szCs w:val="27"/>
        </w:rPr>
        <w:t>审理情形的，应当建议人民法院转为普通程序或者简易程</w:t>
      </w:r>
      <w:r>
        <w:rPr>
          <w:rFonts w:ascii="Verdana" w:hAnsi="Verdana"/>
          <w:color w:val="333333"/>
          <w:sz w:val="27"/>
          <w:szCs w:val="27"/>
        </w:rPr>
        <w:lastRenderedPageBreak/>
        <w:t>序重新审理</w:t>
      </w:r>
      <w:r>
        <w:rPr>
          <w:rFonts w:ascii="Verdana" w:hAnsi="Verdana"/>
          <w:color w:val="333333"/>
          <w:sz w:val="27"/>
          <w:szCs w:val="27"/>
        </w:rPr>
        <w:t>;</w:t>
      </w:r>
      <w:r>
        <w:rPr>
          <w:rFonts w:ascii="Verdana" w:hAnsi="Verdana"/>
          <w:color w:val="333333"/>
          <w:sz w:val="27"/>
          <w:szCs w:val="27"/>
        </w:rPr>
        <w:t>发现有不宜适用简易程序审理情形的，应当建议人民法院转为普通程序重新审理。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49.</w:t>
      </w:r>
      <w:r>
        <w:rPr>
          <w:rFonts w:ascii="Verdana" w:hAnsi="Verdana"/>
          <w:color w:val="333333"/>
          <w:sz w:val="27"/>
          <w:szCs w:val="27"/>
        </w:rPr>
        <w:t>被告人当庭认罪认罚案件的处理。被告人在侦查、审查起诉阶段没有认罪认罚，但当庭认罪，愿意接受处罚的，人民法院应当根据审理查明的事实，就定罪和量刑听取控辩双方意见，依法</w:t>
      </w:r>
      <w:proofErr w:type="gramStart"/>
      <w:r>
        <w:rPr>
          <w:rFonts w:ascii="Verdana" w:hAnsi="Verdana"/>
          <w:color w:val="333333"/>
          <w:sz w:val="27"/>
          <w:szCs w:val="27"/>
        </w:rPr>
        <w:t>作出</w:t>
      </w:r>
      <w:proofErr w:type="gramEnd"/>
      <w:r>
        <w:rPr>
          <w:rFonts w:ascii="Verdana" w:hAnsi="Verdana"/>
          <w:color w:val="333333"/>
          <w:sz w:val="27"/>
          <w:szCs w:val="27"/>
        </w:rPr>
        <w:t>裁判。</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50.</w:t>
      </w:r>
      <w:r>
        <w:rPr>
          <w:rFonts w:ascii="Verdana" w:hAnsi="Verdana"/>
          <w:color w:val="333333"/>
          <w:sz w:val="27"/>
          <w:szCs w:val="27"/>
        </w:rPr>
        <w:t>第二审程序中被告人认罪认罚案件的处理。被告人在第一审程序中未认罪认罚，在第二审程序中认罪认罚的，审理程序依照刑事诉讼法规定的第二审程序进行。第二审人民法院应当根据其认罪认罚的价值、作用决定是否从宽，并依法</w:t>
      </w:r>
      <w:proofErr w:type="gramStart"/>
      <w:r>
        <w:rPr>
          <w:rFonts w:ascii="Verdana" w:hAnsi="Verdana"/>
          <w:color w:val="333333"/>
          <w:sz w:val="27"/>
          <w:szCs w:val="27"/>
        </w:rPr>
        <w:t>作出</w:t>
      </w:r>
      <w:proofErr w:type="gramEnd"/>
      <w:r>
        <w:rPr>
          <w:rFonts w:ascii="Verdana" w:hAnsi="Verdana"/>
          <w:color w:val="333333"/>
          <w:sz w:val="27"/>
          <w:szCs w:val="27"/>
        </w:rPr>
        <w:t>裁判。确定从宽幅度时应当与第一审程序认罪认罚有所区别。</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十一、认罪认罚的反悔和撤回</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51.</w:t>
      </w:r>
      <w:r>
        <w:rPr>
          <w:rFonts w:ascii="Verdana" w:hAnsi="Verdana"/>
          <w:color w:val="333333"/>
          <w:sz w:val="27"/>
          <w:szCs w:val="27"/>
        </w:rPr>
        <w:t>不起诉后反悔的处理。因犯罪嫌疑人认罪认罚，人民检察院依照刑事诉讼法第一百七十七条第二款</w:t>
      </w:r>
      <w:proofErr w:type="gramStart"/>
      <w:r>
        <w:rPr>
          <w:rFonts w:ascii="Verdana" w:hAnsi="Verdana"/>
          <w:color w:val="333333"/>
          <w:sz w:val="27"/>
          <w:szCs w:val="27"/>
        </w:rPr>
        <w:t>作出</w:t>
      </w:r>
      <w:proofErr w:type="gramEnd"/>
      <w:r>
        <w:rPr>
          <w:rFonts w:ascii="Verdana" w:hAnsi="Verdana"/>
          <w:color w:val="333333"/>
          <w:sz w:val="27"/>
          <w:szCs w:val="27"/>
        </w:rPr>
        <w:t>不起诉决定后，犯罪嫌疑人否认指控的犯罪事实或者不积极履行赔礼道歉、退赃退赔、赔偿损失等义务的，人民检察院应当进行审查，区分下列情形依法</w:t>
      </w:r>
      <w:proofErr w:type="gramStart"/>
      <w:r>
        <w:rPr>
          <w:rFonts w:ascii="Verdana" w:hAnsi="Verdana"/>
          <w:color w:val="333333"/>
          <w:sz w:val="27"/>
          <w:szCs w:val="27"/>
        </w:rPr>
        <w:t>作出</w:t>
      </w:r>
      <w:proofErr w:type="gramEnd"/>
      <w:r>
        <w:rPr>
          <w:rFonts w:ascii="Verdana" w:hAnsi="Verdana"/>
          <w:color w:val="333333"/>
          <w:sz w:val="27"/>
          <w:szCs w:val="27"/>
        </w:rPr>
        <w:t>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proofErr w:type="gramStart"/>
      <w:r>
        <w:rPr>
          <w:rFonts w:ascii="Verdana" w:hAnsi="Verdana"/>
          <w:color w:val="333333"/>
          <w:sz w:val="27"/>
          <w:szCs w:val="27"/>
        </w:rPr>
        <w:t>一</w:t>
      </w:r>
      <w:proofErr w:type="gramEnd"/>
      <w:r>
        <w:rPr>
          <w:rFonts w:ascii="Verdana" w:hAnsi="Verdana"/>
          <w:color w:val="333333"/>
          <w:sz w:val="27"/>
          <w:szCs w:val="27"/>
        </w:rPr>
        <w:t>)</w:t>
      </w:r>
      <w:r>
        <w:rPr>
          <w:rFonts w:ascii="Verdana" w:hAnsi="Verdana"/>
          <w:color w:val="333333"/>
          <w:sz w:val="27"/>
          <w:szCs w:val="27"/>
        </w:rPr>
        <w:t>发现犯罪嫌疑人没有犯罪事实，或者符合刑事诉讼法第十六条规定的情形之一的，应当撤销原不起诉决定，依法重新</w:t>
      </w:r>
      <w:proofErr w:type="gramStart"/>
      <w:r>
        <w:rPr>
          <w:rFonts w:ascii="Verdana" w:hAnsi="Verdana"/>
          <w:color w:val="333333"/>
          <w:sz w:val="27"/>
          <w:szCs w:val="27"/>
        </w:rPr>
        <w:t>作出</w:t>
      </w:r>
      <w:proofErr w:type="gramEnd"/>
      <w:r>
        <w:rPr>
          <w:rFonts w:ascii="Verdana" w:hAnsi="Verdana"/>
          <w:color w:val="333333"/>
          <w:sz w:val="27"/>
          <w:szCs w:val="27"/>
        </w:rPr>
        <w:t>不起诉决定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w:t>
      </w:r>
      <w:r>
        <w:rPr>
          <w:rFonts w:ascii="Verdana" w:hAnsi="Verdana"/>
          <w:color w:val="333333"/>
          <w:sz w:val="27"/>
          <w:szCs w:val="27"/>
        </w:rPr>
        <w:t>二</w:t>
      </w:r>
      <w:r>
        <w:rPr>
          <w:rFonts w:ascii="Verdana" w:hAnsi="Verdana"/>
          <w:color w:val="333333"/>
          <w:sz w:val="27"/>
          <w:szCs w:val="27"/>
        </w:rPr>
        <w:t>)</w:t>
      </w:r>
      <w:r>
        <w:rPr>
          <w:rFonts w:ascii="Verdana" w:hAnsi="Verdana"/>
          <w:color w:val="333333"/>
          <w:sz w:val="27"/>
          <w:szCs w:val="27"/>
        </w:rPr>
        <w:t>认为犯罪嫌疑人仍属于犯罪情节轻微，依照刑法规定不需要判处刑罚或者免除刑罚的，可以维持原不起诉决定</w:t>
      </w:r>
      <w:r>
        <w:rPr>
          <w:rFonts w:ascii="Verdana" w:hAnsi="Verdana"/>
          <w:color w:val="333333"/>
          <w:sz w:val="27"/>
          <w:szCs w:val="27"/>
        </w:rPr>
        <w:t>;</w:t>
      </w:r>
    </w:p>
    <w:p w:rsidR="00A56C48" w:rsidRDefault="00A56C48" w:rsidP="00A56C48">
      <w:pPr>
        <w:pStyle w:val="a4"/>
      </w:pPr>
      <w:r>
        <w:rPr>
          <w:rFonts w:ascii="Verdana" w:hAnsi="Verdana"/>
          <w:color w:val="333333"/>
          <w:sz w:val="27"/>
          <w:szCs w:val="27"/>
        </w:rPr>
        <w:lastRenderedPageBreak/>
        <w:t xml:space="preserve">　　</w:t>
      </w:r>
      <w:r>
        <w:rPr>
          <w:rFonts w:ascii="Verdana" w:hAnsi="Verdana"/>
          <w:color w:val="333333"/>
          <w:sz w:val="27"/>
          <w:szCs w:val="27"/>
        </w:rPr>
        <w:t>(</w:t>
      </w:r>
      <w:r>
        <w:rPr>
          <w:rFonts w:ascii="Verdana" w:hAnsi="Verdana"/>
          <w:color w:val="333333"/>
          <w:sz w:val="27"/>
          <w:szCs w:val="27"/>
        </w:rPr>
        <w:t>三</w:t>
      </w:r>
      <w:r>
        <w:rPr>
          <w:rFonts w:ascii="Verdana" w:hAnsi="Verdana"/>
          <w:color w:val="333333"/>
          <w:sz w:val="27"/>
          <w:szCs w:val="27"/>
        </w:rPr>
        <w:t>)</w:t>
      </w:r>
      <w:r>
        <w:rPr>
          <w:rFonts w:ascii="Verdana" w:hAnsi="Verdana"/>
          <w:color w:val="333333"/>
          <w:sz w:val="27"/>
          <w:szCs w:val="27"/>
        </w:rPr>
        <w:t>排除认罪认罚因素后，符合起诉条件的，应当根据案件具体情况撤销原不起诉决定，依法提起公诉。</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52.</w:t>
      </w:r>
      <w:r>
        <w:rPr>
          <w:rFonts w:ascii="Verdana" w:hAnsi="Verdana"/>
          <w:color w:val="333333"/>
          <w:sz w:val="27"/>
          <w:szCs w:val="27"/>
        </w:rPr>
        <w:t>起诉前反悔的处理。犯罪嫌疑人认罪认罚，签署认罪认罚具结书，在人民检察院提起公诉前反悔的，具结书失效，人民检察院应当在全面审查事实证据的基础上，依法提起公诉。</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53.</w:t>
      </w:r>
      <w:r>
        <w:rPr>
          <w:rFonts w:ascii="Verdana" w:hAnsi="Verdana"/>
          <w:color w:val="333333"/>
          <w:sz w:val="27"/>
          <w:szCs w:val="27"/>
        </w:rPr>
        <w:t>审判阶段反悔的处理。案件审理过程中，被告人反悔不再认罪认罚的，人民法院应当根据审理查明的事实，依法</w:t>
      </w:r>
      <w:proofErr w:type="gramStart"/>
      <w:r>
        <w:rPr>
          <w:rFonts w:ascii="Verdana" w:hAnsi="Verdana"/>
          <w:color w:val="333333"/>
          <w:sz w:val="27"/>
          <w:szCs w:val="27"/>
        </w:rPr>
        <w:t>作出</w:t>
      </w:r>
      <w:proofErr w:type="gramEnd"/>
      <w:r>
        <w:rPr>
          <w:rFonts w:ascii="Verdana" w:hAnsi="Verdana"/>
          <w:color w:val="333333"/>
          <w:sz w:val="27"/>
          <w:szCs w:val="27"/>
        </w:rPr>
        <w:t>裁判。需要转换程序的，依照本意见的相关规定处理。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54.</w:t>
      </w:r>
      <w:r>
        <w:rPr>
          <w:rFonts w:ascii="Verdana" w:hAnsi="Verdana"/>
          <w:color w:val="333333"/>
          <w:sz w:val="27"/>
          <w:szCs w:val="27"/>
        </w:rPr>
        <w:t>人民检察院的法律监督。完善人民检察院对侦查活动和刑事审判活动的监督机制，加强对认罪认罚案件</w:t>
      </w:r>
      <w:proofErr w:type="gramStart"/>
      <w:r>
        <w:rPr>
          <w:rFonts w:ascii="Verdana" w:hAnsi="Verdana"/>
          <w:color w:val="333333"/>
          <w:sz w:val="27"/>
          <w:szCs w:val="27"/>
        </w:rPr>
        <w:t>办理全</w:t>
      </w:r>
      <w:proofErr w:type="gramEnd"/>
      <w:r>
        <w:rPr>
          <w:rFonts w:ascii="Verdana" w:hAnsi="Verdana"/>
          <w:color w:val="333333"/>
          <w:sz w:val="27"/>
          <w:szCs w:val="27"/>
        </w:rPr>
        <w:t>过程的监督，规范认罪认罚案件的抗诉工作，确保无罪的人不受刑事追究、有罪的人受到公正处罚。</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十二、未成年人认罪认罚案件的办理</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55.</w:t>
      </w:r>
      <w:r>
        <w:rPr>
          <w:rFonts w:ascii="Verdana" w:hAnsi="Verdana"/>
          <w:color w:val="333333"/>
          <w:sz w:val="27"/>
          <w:szCs w:val="27"/>
        </w:rPr>
        <w:t>听取意见。人民法院、人民检察院办理未成年人认罪认罚案件，应当听取未成年犯罪嫌疑人、被告人的法定代理人的意见，法定代理人无法到场的，应当听取合适成年人的意见，但受案时犯罪嫌疑人已经成年的除外。</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56.</w:t>
      </w:r>
      <w:r>
        <w:rPr>
          <w:rFonts w:ascii="Verdana" w:hAnsi="Verdana"/>
          <w:color w:val="333333"/>
          <w:sz w:val="27"/>
          <w:szCs w:val="27"/>
        </w:rPr>
        <w:t>具结书签署。未成年犯罪嫌疑人签署认罪认罚具结书时，其法定代理人应当到场并签字确认。法定代理人无法到场的，合适成年人应</w:t>
      </w:r>
      <w:r>
        <w:rPr>
          <w:rFonts w:ascii="Verdana" w:hAnsi="Verdana"/>
          <w:color w:val="333333"/>
          <w:sz w:val="27"/>
          <w:szCs w:val="27"/>
        </w:rPr>
        <w:lastRenderedPageBreak/>
        <w:t>当到场签字确认。法定代理人、辩护人对未成年人认罪认罚有异议的，不需要签署认罪认罚具结书。</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57.</w:t>
      </w:r>
      <w:r>
        <w:rPr>
          <w:rFonts w:ascii="Verdana" w:hAnsi="Verdana"/>
          <w:color w:val="333333"/>
          <w:sz w:val="27"/>
          <w:szCs w:val="27"/>
        </w:rPr>
        <w:t>程序适用。未成年人认罪认罚案件，</w:t>
      </w:r>
      <w:proofErr w:type="gramStart"/>
      <w:r>
        <w:rPr>
          <w:rFonts w:ascii="Verdana" w:hAnsi="Verdana"/>
          <w:color w:val="333333"/>
          <w:sz w:val="27"/>
          <w:szCs w:val="27"/>
        </w:rPr>
        <w:t>不适用速裁程序</w:t>
      </w:r>
      <w:proofErr w:type="gramEnd"/>
      <w:r>
        <w:rPr>
          <w:rFonts w:ascii="Verdana" w:hAnsi="Verdana"/>
          <w:color w:val="333333"/>
          <w:sz w:val="27"/>
          <w:szCs w:val="27"/>
        </w:rPr>
        <w:t>，但应当贯彻教育、感化、挽救的方针，坚持从快从宽原则，确保案件及时办理，最大限度保护未成年人合法权益。</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58.</w:t>
      </w:r>
      <w:r>
        <w:rPr>
          <w:rFonts w:ascii="Verdana" w:hAnsi="Verdana"/>
          <w:color w:val="333333"/>
          <w:sz w:val="27"/>
          <w:szCs w:val="27"/>
        </w:rPr>
        <w:t>法治教育。办理未成年人认罪认罚案件，应当做好未成年犯罪嫌疑人、被告人的认罪</w:t>
      </w:r>
      <w:proofErr w:type="gramStart"/>
      <w:r>
        <w:rPr>
          <w:rFonts w:ascii="Verdana" w:hAnsi="Verdana"/>
          <w:color w:val="333333"/>
          <w:sz w:val="27"/>
          <w:szCs w:val="27"/>
        </w:rPr>
        <w:t>服法</w:t>
      </w:r>
      <w:proofErr w:type="gramEnd"/>
      <w:r>
        <w:rPr>
          <w:rFonts w:ascii="Verdana" w:hAnsi="Verdana"/>
          <w:color w:val="333333"/>
          <w:sz w:val="27"/>
          <w:szCs w:val="27"/>
        </w:rPr>
        <w:t>、悔过教育工作，实现惩教结合目的。</w:t>
      </w:r>
    </w:p>
    <w:p w:rsidR="00A56C48" w:rsidRDefault="00A56C48" w:rsidP="00A56C48">
      <w:pPr>
        <w:pStyle w:val="a4"/>
      </w:pPr>
      <w:r>
        <w:rPr>
          <w:rFonts w:ascii="Verdana" w:hAnsi="Verdana"/>
          <w:color w:val="333333"/>
          <w:sz w:val="27"/>
          <w:szCs w:val="27"/>
        </w:rPr>
        <w:t xml:space="preserve">　</w:t>
      </w:r>
      <w:r>
        <w:rPr>
          <w:rStyle w:val="a3"/>
          <w:rFonts w:ascii="Verdana" w:hAnsi="Verdana"/>
          <w:color w:val="333333"/>
          <w:sz w:val="27"/>
          <w:szCs w:val="27"/>
        </w:rPr>
        <w:t xml:space="preserve">　十三、附则</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59.</w:t>
      </w:r>
      <w:r>
        <w:rPr>
          <w:rFonts w:ascii="Verdana" w:hAnsi="Verdana"/>
          <w:color w:val="333333"/>
          <w:sz w:val="27"/>
          <w:szCs w:val="27"/>
        </w:rPr>
        <w:t>国家安全机关、军队保卫部门、中国海警局、监狱办理刑事案件，适用本意见的有关规定。</w:t>
      </w:r>
    </w:p>
    <w:p w:rsidR="00A56C48" w:rsidRDefault="00A56C48" w:rsidP="00A56C48">
      <w:pPr>
        <w:pStyle w:val="a4"/>
      </w:pPr>
      <w:r>
        <w:rPr>
          <w:rFonts w:ascii="Verdana" w:hAnsi="Verdana"/>
          <w:color w:val="333333"/>
          <w:sz w:val="27"/>
          <w:szCs w:val="27"/>
        </w:rPr>
        <w:t xml:space="preserve">　　</w:t>
      </w:r>
      <w:r>
        <w:rPr>
          <w:rFonts w:ascii="Verdana" w:hAnsi="Verdana"/>
          <w:color w:val="333333"/>
          <w:sz w:val="27"/>
          <w:szCs w:val="27"/>
        </w:rPr>
        <w:t>60.</w:t>
      </w:r>
      <w:r>
        <w:rPr>
          <w:rFonts w:ascii="Verdana" w:hAnsi="Verdana"/>
          <w:color w:val="333333"/>
          <w:sz w:val="27"/>
          <w:szCs w:val="27"/>
        </w:rPr>
        <w:t>本指导意见由会签单位协商解释，自发布之日起施行。</w:t>
      </w:r>
    </w:p>
    <w:p w:rsidR="000B1725" w:rsidRPr="00A56C48" w:rsidRDefault="000B1725"/>
    <w:sectPr w:rsidR="000B1725" w:rsidRPr="00A56C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9DE" w:rsidRDefault="00EC29DE" w:rsidP="00521ADD">
      <w:r>
        <w:separator/>
      </w:r>
    </w:p>
  </w:endnote>
  <w:endnote w:type="continuationSeparator" w:id="0">
    <w:p w:rsidR="00EC29DE" w:rsidRDefault="00EC29DE" w:rsidP="00521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9DE" w:rsidRDefault="00EC29DE" w:rsidP="00521ADD">
      <w:r>
        <w:separator/>
      </w:r>
    </w:p>
  </w:footnote>
  <w:footnote w:type="continuationSeparator" w:id="0">
    <w:p w:rsidR="00EC29DE" w:rsidRDefault="00EC29DE" w:rsidP="00521A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E98"/>
    <w:rsid w:val="000B1725"/>
    <w:rsid w:val="000B4793"/>
    <w:rsid w:val="0016640D"/>
    <w:rsid w:val="00323030"/>
    <w:rsid w:val="00521ADD"/>
    <w:rsid w:val="0058130C"/>
    <w:rsid w:val="00587397"/>
    <w:rsid w:val="007C7C11"/>
    <w:rsid w:val="009303FE"/>
    <w:rsid w:val="00A56C48"/>
    <w:rsid w:val="00B31AAC"/>
    <w:rsid w:val="00D02E98"/>
    <w:rsid w:val="00DE2A7D"/>
    <w:rsid w:val="00E064D3"/>
    <w:rsid w:val="00E365BC"/>
    <w:rsid w:val="00EC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56C48"/>
    <w:rPr>
      <w:b/>
      <w:bCs/>
    </w:rPr>
  </w:style>
  <w:style w:type="paragraph" w:styleId="a4">
    <w:name w:val="Normal (Web)"/>
    <w:basedOn w:val="a"/>
    <w:uiPriority w:val="99"/>
    <w:semiHidden/>
    <w:unhideWhenUsed/>
    <w:rsid w:val="00A56C48"/>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521A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21ADD"/>
    <w:rPr>
      <w:sz w:val="18"/>
      <w:szCs w:val="18"/>
    </w:rPr>
  </w:style>
  <w:style w:type="paragraph" w:styleId="a6">
    <w:name w:val="footer"/>
    <w:basedOn w:val="a"/>
    <w:link w:val="Char0"/>
    <w:uiPriority w:val="99"/>
    <w:unhideWhenUsed/>
    <w:rsid w:val="00521ADD"/>
    <w:pPr>
      <w:tabs>
        <w:tab w:val="center" w:pos="4153"/>
        <w:tab w:val="right" w:pos="8306"/>
      </w:tabs>
      <w:snapToGrid w:val="0"/>
      <w:jc w:val="left"/>
    </w:pPr>
    <w:rPr>
      <w:sz w:val="18"/>
      <w:szCs w:val="18"/>
    </w:rPr>
  </w:style>
  <w:style w:type="character" w:customStyle="1" w:styleId="Char0">
    <w:name w:val="页脚 Char"/>
    <w:basedOn w:val="a0"/>
    <w:link w:val="a6"/>
    <w:uiPriority w:val="99"/>
    <w:rsid w:val="00521A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56C48"/>
    <w:rPr>
      <w:b/>
      <w:bCs/>
    </w:rPr>
  </w:style>
  <w:style w:type="paragraph" w:styleId="a4">
    <w:name w:val="Normal (Web)"/>
    <w:basedOn w:val="a"/>
    <w:uiPriority w:val="99"/>
    <w:semiHidden/>
    <w:unhideWhenUsed/>
    <w:rsid w:val="00A56C48"/>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Char"/>
    <w:uiPriority w:val="99"/>
    <w:unhideWhenUsed/>
    <w:rsid w:val="00521A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21ADD"/>
    <w:rPr>
      <w:sz w:val="18"/>
      <w:szCs w:val="18"/>
    </w:rPr>
  </w:style>
  <w:style w:type="paragraph" w:styleId="a6">
    <w:name w:val="footer"/>
    <w:basedOn w:val="a"/>
    <w:link w:val="Char0"/>
    <w:uiPriority w:val="99"/>
    <w:unhideWhenUsed/>
    <w:rsid w:val="00521ADD"/>
    <w:pPr>
      <w:tabs>
        <w:tab w:val="center" w:pos="4153"/>
        <w:tab w:val="right" w:pos="8306"/>
      </w:tabs>
      <w:snapToGrid w:val="0"/>
      <w:jc w:val="left"/>
    </w:pPr>
    <w:rPr>
      <w:sz w:val="18"/>
      <w:szCs w:val="18"/>
    </w:rPr>
  </w:style>
  <w:style w:type="character" w:customStyle="1" w:styleId="Char0">
    <w:name w:val="页脚 Char"/>
    <w:basedOn w:val="a0"/>
    <w:link w:val="a6"/>
    <w:uiPriority w:val="99"/>
    <w:rsid w:val="00521A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106460">
      <w:bodyDiv w:val="1"/>
      <w:marLeft w:val="0"/>
      <w:marRight w:val="0"/>
      <w:marTop w:val="0"/>
      <w:marBottom w:val="0"/>
      <w:divBdr>
        <w:top w:val="none" w:sz="0" w:space="0" w:color="auto"/>
        <w:left w:val="none" w:sz="0" w:space="0" w:color="auto"/>
        <w:bottom w:val="none" w:sz="0" w:space="0" w:color="auto"/>
        <w:right w:val="none" w:sz="0" w:space="0" w:color="auto"/>
      </w:divBdr>
      <w:divsChild>
        <w:div w:id="1909877233">
          <w:marLeft w:val="0"/>
          <w:marRight w:val="0"/>
          <w:marTop w:val="0"/>
          <w:marBottom w:val="0"/>
          <w:divBdr>
            <w:top w:val="none" w:sz="0" w:space="0" w:color="auto"/>
            <w:left w:val="none" w:sz="0" w:space="0" w:color="auto"/>
            <w:bottom w:val="none" w:sz="0" w:space="0" w:color="auto"/>
            <w:right w:val="none" w:sz="0" w:space="0" w:color="auto"/>
          </w:divBdr>
          <w:divsChild>
            <w:div w:id="16490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24</Pages>
  <Words>1762</Words>
  <Characters>10046</Characters>
  <Application>Microsoft Office Word</Application>
  <DocSecurity>0</DocSecurity>
  <Lines>83</Lines>
  <Paragraphs>23</Paragraphs>
  <ScaleCrop>false</ScaleCrop>
  <Company>P R C</Company>
  <LinksUpToDate>false</LinksUpToDate>
  <CharactersWithSpaces>11785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2020-01-31T03:30:00Z</dcterms:created>
  <dcterms:modified xsi:type="dcterms:W3CDTF">2020-02-24T11:51:00Z</dcterms:modified>
</cp:coreProperties>
</file>